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885"/>
        <w:spacing w:before="309" w:line="1252" w:lineRule="exact"/>
        <w:rPr>
          <w:rFonts w:ascii="Microsoft YaHei" w:hAnsi="Microsoft YaHei" w:eastAsia="Microsoft YaHei" w:cs="Microsoft YaHei"/>
          <w:sz w:val="72"/>
          <w:szCs w:val="72"/>
        </w:rPr>
      </w:pPr>
      <w:r>
        <w:rPr>
          <w:rFonts w:ascii="Microsoft YaHei" w:hAnsi="Microsoft YaHei" w:eastAsia="Microsoft YaHei" w:cs="Microsoft YaHei"/>
          <w:sz w:val="72"/>
          <w:szCs w:val="72"/>
          <w:color w:val="002060"/>
          <w:position w:val="-10"/>
        </w:rPr>
        <w:drawing>
          <wp:inline distT="0" distB="0" distL="0" distR="0">
            <wp:extent cx="612648" cy="60807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64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7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1"/>
          <w:position w:val="1"/>
        </w:rPr>
        <w:t>2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7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1"/>
          <w:position w:val="1"/>
        </w:rPr>
        <w:t>0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6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1"/>
          <w:position w:val="1"/>
        </w:rPr>
        <w:t>22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12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1"/>
          <w:position w:val="1"/>
        </w:rPr>
        <w:t>年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3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72"/>
          <w:szCs w:val="72"/>
          <w:b/>
          <w:bCs/>
          <w:color w:val="002060"/>
          <w:spacing w:val="-1"/>
          <w:position w:val="1"/>
        </w:rPr>
        <w:t>度</w:t>
      </w:r>
    </w:p>
    <w:p>
      <w:pPr>
        <w:ind w:left="934"/>
        <w:spacing w:before="313" w:line="222" w:lineRule="auto"/>
        <w:rPr>
          <w:rFonts w:ascii="SimHei" w:hAnsi="SimHei" w:eastAsia="SimHei" w:cs="SimHei"/>
          <w:sz w:val="96"/>
          <w:szCs w:val="96"/>
        </w:rPr>
      </w:pPr>
      <w:r>
        <w:rPr>
          <w:rFonts w:ascii="SimHei" w:hAnsi="SimHei" w:eastAsia="SimHei" w:cs="SimHei"/>
          <w:sz w:val="96"/>
          <w:szCs w:val="96"/>
          <w:b/>
          <w:bCs/>
          <w:u w:val="single" w:color="41719C"/>
          <w:color w:val="002060"/>
          <w:spacing w:val="63"/>
        </w:rPr>
        <w:t>部</w:t>
      </w:r>
      <w:r>
        <w:rPr>
          <w:rFonts w:ascii="SimHei" w:hAnsi="SimHei" w:eastAsia="SimHei" w:cs="SimHei"/>
          <w:sz w:val="96"/>
          <w:szCs w:val="96"/>
          <w:u w:val="single" w:color="41719C"/>
          <w:color w:val="002060"/>
          <w:spacing w:val="-260"/>
        </w:rPr>
        <w:t xml:space="preserve"> </w:t>
      </w:r>
      <w:r>
        <w:rPr>
          <w:rFonts w:ascii="SimHei" w:hAnsi="SimHei" w:eastAsia="SimHei" w:cs="SimHei"/>
          <w:sz w:val="96"/>
          <w:szCs w:val="96"/>
          <w:b/>
          <w:bCs/>
          <w:u w:val="single" w:color="41719C"/>
          <w:color w:val="002060"/>
          <w:spacing w:val="63"/>
        </w:rPr>
        <w:t>门决算公开文本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spacing w:line="5501" w:lineRule="exact"/>
        <w:rPr/>
      </w:pPr>
      <w:r>
        <w:rPr>
          <w:position w:val="-110"/>
        </w:rPr>
        <w:drawing>
          <wp:inline distT="0" distB="0" distL="0" distR="0">
            <wp:extent cx="7103364" cy="349300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03364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1810"/>
        <w:spacing w:before="131" w:line="227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5"/>
        </w:rPr>
        <w:t>预算代码</w:t>
      </w:r>
      <w:r>
        <w:rPr>
          <w:rFonts w:ascii="KaiTi" w:hAnsi="KaiTi" w:eastAsia="KaiTi" w:cs="KaiTi"/>
          <w:sz w:val="40"/>
          <w:szCs w:val="40"/>
          <w:spacing w:val="-5"/>
        </w:rPr>
        <w:t>：</w:t>
      </w:r>
      <w:r>
        <w:rPr>
          <w:rFonts w:ascii="KaiTi" w:hAnsi="KaiTi" w:eastAsia="KaiTi" w:cs="KaiTi"/>
          <w:sz w:val="40"/>
          <w:szCs w:val="40"/>
          <w:b/>
          <w:bCs/>
          <w:spacing w:val="-5"/>
        </w:rPr>
        <w:t>348003</w:t>
      </w:r>
    </w:p>
    <w:p>
      <w:pPr>
        <w:ind w:left="1814"/>
        <w:spacing w:before="288" w:line="225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单位名称</w:t>
      </w:r>
      <w:r>
        <w:rPr>
          <w:rFonts w:ascii="KaiTi" w:hAnsi="KaiTi" w:eastAsia="KaiTi" w:cs="KaiTi"/>
          <w:sz w:val="40"/>
          <w:szCs w:val="40"/>
          <w:spacing w:val="-2"/>
        </w:rPr>
        <w:t>：河北省交通职业技术学校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4118"/>
        <w:spacing w:before="130" w:line="226" w:lineRule="auto"/>
        <w:rPr>
          <w:rFonts w:ascii="KaiTi" w:hAnsi="KaiTi" w:eastAsia="KaiTi" w:cs="KaiTi"/>
          <w:sz w:val="40"/>
          <w:szCs w:val="40"/>
        </w:rPr>
      </w:pPr>
      <w:r>
        <w:rPr>
          <w:rFonts w:ascii="KaiTi" w:hAnsi="KaiTi" w:eastAsia="KaiTi" w:cs="KaiTi"/>
          <w:sz w:val="40"/>
          <w:szCs w:val="40"/>
          <w:spacing w:val="-3"/>
        </w:rPr>
        <w:t>二〇二三年八月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spacing w:before="1" w:line="106" w:lineRule="exact"/>
        <w:rPr/>
      </w:pPr>
      <w:r>
        <w:rPr>
          <w:position w:val="-2"/>
        </w:rPr>
        <w:drawing>
          <wp:inline distT="0" distB="0" distL="0" distR="0">
            <wp:extent cx="7103364" cy="6705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033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" w:lineRule="exact"/>
        <w:sectPr>
          <w:headerReference w:type="default" r:id="rId1"/>
          <w:pgSz w:w="11900" w:h="16840"/>
          <w:pgMar w:top="400" w:right="353" w:bottom="0" w:left="360" w:header="0" w:footer="0" w:gutter="0"/>
        </w:sectPr>
        <w:rPr/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spacing w:before="234" w:line="222" w:lineRule="auto"/>
        <w:outlineLvl w:val="0"/>
        <w:jc w:val="right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:b/>
          <w:bCs/>
          <w:spacing w:val="-10"/>
        </w:rPr>
        <w:t>2022</w:t>
      </w:r>
      <w:r>
        <w:rPr>
          <w:rFonts w:ascii="SimHei" w:hAnsi="SimHei" w:eastAsia="SimHei" w:cs="SimHei"/>
          <w:sz w:val="72"/>
          <w:szCs w:val="72"/>
          <w:spacing w:val="-150"/>
        </w:rPr>
        <w:t xml:space="preserve"> </w:t>
      </w:r>
      <w:r>
        <w:rPr>
          <w:rFonts w:ascii="SimHei" w:hAnsi="SimHei" w:eastAsia="SimHei" w:cs="SimHei"/>
          <w:sz w:val="72"/>
          <w:szCs w:val="72"/>
          <w:b/>
          <w:bCs/>
          <w:spacing w:val="-10"/>
        </w:rPr>
        <w:t>年度部门决算公开文本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007"/>
        <w:spacing w:before="214" w:line="506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color w:val="7D7D7D"/>
          <w:spacing w:val="-12"/>
          <w:w w:val="91"/>
          <w:position w:val="-2"/>
        </w:rPr>
        <w:t>河北省交通职业技术学校</w:t>
      </w:r>
    </w:p>
    <w:p>
      <w:pPr>
        <w:ind w:left="2879"/>
        <w:spacing w:before="124" w:line="502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color w:val="7F7F7F"/>
          <w:spacing w:val="-31"/>
          <w:w w:val="98"/>
          <w:position w:val="-2"/>
        </w:rPr>
        <w:t>二○二三年八月</w:t>
      </w:r>
    </w:p>
    <w:p>
      <w:pPr>
        <w:spacing w:line="502" w:lineRule="exact"/>
        <w:sectPr>
          <w:headerReference w:type="default" r:id="rId5"/>
          <w:pgSz w:w="11900" w:h="16840"/>
          <w:pgMar w:top="400" w:right="1529" w:bottom="0" w:left="1553" w:header="0" w:footer="0" w:gutter="0"/>
        </w:sectPr>
        <w:rPr>
          <w:rFonts w:ascii="Microsoft YaHei" w:hAnsi="Microsoft YaHei" w:eastAsia="Microsoft YaHei" w:cs="Microsoft YaHei"/>
          <w:sz w:val="50"/>
          <w:szCs w:val="5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3360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32"/>
        </w:rPr>
        <w:t>目</w:t>
      </w:r>
      <w:r>
        <w:rPr>
          <w:rFonts w:ascii="SimHei" w:hAnsi="SimHei" w:eastAsia="SimHei" w:cs="SimHei"/>
          <w:sz w:val="43"/>
          <w:szCs w:val="43"/>
          <w:spacing w:val="10"/>
        </w:rPr>
        <w:t xml:space="preserve">    </w:t>
      </w:r>
      <w:r>
        <w:rPr>
          <w:rFonts w:ascii="SimHei" w:hAnsi="SimHei" w:eastAsia="SimHei" w:cs="SimHei"/>
          <w:sz w:val="43"/>
          <w:szCs w:val="43"/>
          <w:spacing w:val="-32"/>
        </w:rPr>
        <w:t>录</w:t>
      </w: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9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第一部分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5"/>
        </w:rPr>
        <w:t>部门概况</w:t>
      </w:r>
    </w:p>
    <w:p>
      <w:pPr>
        <w:pStyle w:val="BodyText"/>
        <w:spacing w:line="257" w:lineRule="auto"/>
        <w:rPr/>
      </w:pPr>
      <w:r/>
    </w:p>
    <w:sdt>
      <w:sdtPr>
        <w:rPr>
          <w:rFonts w:ascii="FangSong" w:hAnsi="FangSong" w:eastAsia="FangSong" w:cs="FangSong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1046"/>
            <w:spacing w:before="100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一、部门职责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1"/>
            <w:spacing w:before="100" w:line="228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2"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二、机构设置</w:t>
            </w:r>
          </w:hyperlink>
        </w:p>
        <w:p>
          <w:pPr>
            <w:pStyle w:val="BodyText"/>
            <w:spacing w:line="256" w:lineRule="auto"/>
            <w:rPr/>
          </w:pPr>
          <w:r/>
        </w:p>
        <w:p>
          <w:pPr>
            <w:ind w:left="399"/>
            <w:spacing w:before="102" w:line="227" w:lineRule="auto"/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3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第二部分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2022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年度部门决算报表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1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4"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一、收入支出决算总表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6"/>
            <w:spacing w:before="102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5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二、收入决算表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55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6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三、支出决算表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84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7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四、财政拨款收入支出决算总表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1"/>
            <w:spacing w:before="102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8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五、一般公共预算财政拨款支出决算表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49"/>
            <w:spacing w:before="100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9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六、一般公共预算财政拨款基本支出决算明细表</w:t>
            </w:r>
          </w:hyperlink>
        </w:p>
        <w:p>
          <w:pPr>
            <w:pStyle w:val="BodyText"/>
            <w:spacing w:line="254" w:lineRule="auto"/>
            <w:rPr/>
          </w:pPr>
          <w:r/>
        </w:p>
        <w:p>
          <w:pPr>
            <w:ind w:left="1052"/>
            <w:spacing w:before="102" w:line="226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七、政府性基金预算财政拨款收入支出决算表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45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八、国有资本经营预算财政拨款收入支出决算表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57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九、财政拨款“三公</w:t>
            </w:r>
            <w:r>
              <w:rPr>
                <w:rFonts w:ascii="FangSong" w:hAnsi="FangSong" w:eastAsia="FangSong" w:cs="FangSong"/>
                <w:sz w:val="31"/>
                <w:szCs w:val="31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”经费支出决算表</w:t>
            </w:r>
          </w:hyperlink>
        </w:p>
        <w:p>
          <w:pPr>
            <w:pStyle w:val="BodyText"/>
            <w:spacing w:line="256" w:lineRule="auto"/>
            <w:rPr/>
          </w:pPr>
          <w:r/>
        </w:p>
        <w:p>
          <w:pPr>
            <w:ind w:left="399"/>
            <w:spacing w:before="101" w:line="226" w:lineRule="auto"/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13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第三部分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2022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年度部门决算情况说明</w:t>
            </w:r>
          </w:hyperlink>
        </w:p>
        <w:p>
          <w:pPr>
            <w:pStyle w:val="BodyText"/>
            <w:spacing w:line="257" w:lineRule="auto"/>
            <w:rPr/>
          </w:pPr>
          <w:r/>
        </w:p>
        <w:p>
          <w:pPr>
            <w:ind w:left="1051"/>
            <w:spacing w:before="100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一、收入支出决算总体情况说明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56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二、收入决算情况说明</w:t>
            </w:r>
          </w:hyperlink>
        </w:p>
      </w:sdtContent>
    </w:sdt>
    <w:p>
      <w:pPr>
        <w:spacing w:line="227" w:lineRule="auto"/>
        <w:sectPr>
          <w:pgSz w:w="11900" w:h="16840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1055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三、支出决算情况说明</w:t>
      </w:r>
    </w:p>
    <w:p>
      <w:pPr>
        <w:pStyle w:val="BodyText"/>
        <w:spacing w:line="258" w:lineRule="auto"/>
        <w:rPr/>
      </w:pPr>
      <w:r/>
    </w:p>
    <w:p>
      <w:pPr>
        <w:ind w:left="1084"/>
        <w:spacing w:before="10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四、财政拨款收入支出决算总体情况说明</w:t>
      </w:r>
    </w:p>
    <w:p>
      <w:pPr>
        <w:pStyle w:val="BodyText"/>
        <w:spacing w:line="255" w:lineRule="auto"/>
        <w:rPr/>
      </w:pPr>
      <w:r/>
    </w:p>
    <w:p>
      <w:pPr>
        <w:ind w:left="1051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五、财政拨款“三公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经费支出决算情况说明</w:t>
      </w:r>
    </w:p>
    <w:p>
      <w:pPr>
        <w:pStyle w:val="BodyText"/>
        <w:spacing w:line="256" w:lineRule="auto"/>
        <w:rPr/>
      </w:pPr>
      <w:r/>
    </w:p>
    <w:p>
      <w:pPr>
        <w:ind w:left="1049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六、机关运行经费支出说明</w:t>
      </w:r>
    </w:p>
    <w:p>
      <w:pPr>
        <w:pStyle w:val="BodyText"/>
        <w:spacing w:line="258" w:lineRule="auto"/>
        <w:rPr/>
      </w:pPr>
      <w:r/>
    </w:p>
    <w:p>
      <w:pPr>
        <w:ind w:left="1052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七、政府采购支出说明</w:t>
      </w:r>
    </w:p>
    <w:p>
      <w:pPr>
        <w:pStyle w:val="BodyText"/>
        <w:spacing w:line="254" w:lineRule="auto"/>
        <w:rPr/>
      </w:pPr>
      <w:r/>
    </w:p>
    <w:p>
      <w:pPr>
        <w:ind w:left="1045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八、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国有资产占用情况说明</w:t>
      </w:r>
    </w:p>
    <w:p>
      <w:pPr>
        <w:pStyle w:val="BodyText"/>
        <w:spacing w:line="254" w:lineRule="auto"/>
        <w:rPr/>
      </w:pPr>
      <w:r/>
    </w:p>
    <w:p>
      <w:pPr>
        <w:ind w:left="1057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九、预算绩效情况说明</w:t>
      </w:r>
    </w:p>
    <w:p>
      <w:pPr>
        <w:pStyle w:val="BodyText"/>
        <w:spacing w:line="258" w:lineRule="auto"/>
        <w:rPr/>
      </w:pPr>
      <w:r/>
    </w:p>
    <w:p>
      <w:pPr>
        <w:ind w:left="1055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十、其他需要说明的情况</w:t>
      </w:r>
    </w:p>
    <w:p>
      <w:pPr>
        <w:pStyle w:val="BodyText"/>
        <w:spacing w:line="255" w:lineRule="auto"/>
        <w:rPr/>
      </w:pPr>
      <w:r/>
    </w:p>
    <w:p>
      <w:pPr>
        <w:ind w:left="39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spacing w:line="227" w:lineRule="auto"/>
        <w:sectPr>
          <w:pgSz w:w="11900" w:h="16840"/>
          <w:pgMar w:top="400" w:right="1785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firstLine="396"/>
        <w:spacing w:line="1061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1439036</wp:posOffset>
            </wp:positionH>
            <wp:positionV relativeFrom="paragraph">
              <wp:posOffset>72911</wp:posOffset>
            </wp:positionV>
            <wp:extent cx="1159764" cy="32461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9764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2842640</wp:posOffset>
            </wp:positionH>
            <wp:positionV relativeFrom="paragraph">
              <wp:posOffset>71387</wp:posOffset>
            </wp:positionV>
            <wp:extent cx="1152144" cy="32613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2144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drawing>
          <wp:inline distT="0" distB="0" distL="0" distR="0">
            <wp:extent cx="740663" cy="67371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0663" cy="67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1" w:lineRule="exact"/>
        <w:sectPr>
          <w:pgSz w:w="11900" w:h="16840"/>
          <w:pgMar w:top="400" w:right="1785" w:bottom="0" w:left="1785" w:header="0" w:footer="0" w:gutter="0"/>
        </w:sectPr>
        <w:rPr/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6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一、部门职责</w:t>
      </w:r>
    </w:p>
    <w:p>
      <w:pPr>
        <w:ind w:left="645"/>
        <w:spacing w:before="19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（一）为机关提供支持保障的职能</w:t>
      </w:r>
    </w:p>
    <w:p>
      <w:pPr>
        <w:ind w:left="17" w:right="11" w:firstLine="795"/>
        <w:spacing w:before="199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、承担省厅的职工岗位培训任务及职工学</w:t>
      </w:r>
      <w:r>
        <w:rPr>
          <w:rFonts w:ascii="FangSong" w:hAnsi="FangSong" w:eastAsia="FangSong" w:cs="FangSong"/>
          <w:sz w:val="31"/>
          <w:szCs w:val="31"/>
          <w:spacing w:val="9"/>
        </w:rPr>
        <w:t>历教育的教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管理工作；</w:t>
      </w:r>
    </w:p>
    <w:p>
      <w:pPr>
        <w:ind w:firstLine="634"/>
        <w:spacing w:before="198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</w:rPr>
        <w:t>、承办全省交通运输行业特有工种职业技能鉴定及国家职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业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资格考试工作。</w:t>
      </w:r>
    </w:p>
    <w:p>
      <w:pPr>
        <w:ind w:left="645"/>
        <w:spacing w:before="20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（二）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面向社会提供公益服务的职能</w:t>
      </w:r>
    </w:p>
    <w:p>
      <w:pPr>
        <w:ind w:left="1" w:firstLine="653"/>
        <w:spacing w:before="195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、全面贯彻党的教育方针，培养具有大国工匠精神的职业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技能人才；</w:t>
      </w:r>
    </w:p>
    <w:p>
      <w:pPr>
        <w:ind w:left="1" w:right="2" w:firstLine="633"/>
        <w:spacing w:before="198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、研究制订学校发展规划和年度计划，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组织实</w:t>
      </w:r>
      <w:r>
        <w:rPr>
          <w:rFonts w:ascii="FangSong" w:hAnsi="FangSong" w:eastAsia="FangSong" w:cs="FangSong"/>
          <w:sz w:val="31"/>
          <w:szCs w:val="31"/>
          <w:spacing w:val="6"/>
        </w:rPr>
        <w:t>施职业教育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体制和办学体制改革；</w:t>
      </w:r>
    </w:p>
    <w:p>
      <w:pPr>
        <w:ind w:left="5" w:right="2" w:firstLine="632"/>
        <w:spacing w:before="199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3</w:t>
      </w:r>
      <w:r>
        <w:rPr>
          <w:rFonts w:ascii="FangSong" w:hAnsi="FangSong" w:eastAsia="FangSong" w:cs="FangSong"/>
          <w:sz w:val="31"/>
          <w:szCs w:val="31"/>
          <w:spacing w:val="11"/>
        </w:rPr>
        <w:t>、负责为交通运输系统及社会培养相关专业中、高</w:t>
      </w:r>
      <w:r>
        <w:rPr>
          <w:rFonts w:ascii="FangSong" w:hAnsi="FangSong" w:eastAsia="FangSong" w:cs="FangSong"/>
          <w:sz w:val="31"/>
          <w:szCs w:val="31"/>
          <w:spacing w:val="10"/>
        </w:rPr>
        <w:t>级技能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人才和管理人才；</w:t>
      </w:r>
    </w:p>
    <w:p>
      <w:pPr>
        <w:ind w:left="7" w:right="2" w:firstLine="621"/>
        <w:spacing w:before="194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4</w:t>
      </w:r>
      <w:r>
        <w:rPr>
          <w:rFonts w:ascii="FangSong" w:hAnsi="FangSong" w:eastAsia="FangSong" w:cs="FangSong"/>
          <w:sz w:val="31"/>
          <w:szCs w:val="31"/>
          <w:spacing w:val="11"/>
        </w:rPr>
        <w:t>、承担省厅的职工岗位培训任务及职工学历教育，培养职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工的创新精神和创新能力；</w:t>
      </w:r>
    </w:p>
    <w:p>
      <w:pPr>
        <w:ind w:firstLine="637"/>
        <w:spacing w:before="200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5</w:t>
      </w:r>
      <w:r>
        <w:rPr>
          <w:rFonts w:ascii="FangSong" w:hAnsi="FangSong" w:eastAsia="FangSong" w:cs="FangSong"/>
          <w:sz w:val="31"/>
          <w:szCs w:val="31"/>
          <w:spacing w:val="11"/>
        </w:rPr>
        <w:t>、承办全省交通运输行业特有工种职业技能鉴定及国家职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业资格考试工作；</w:t>
      </w:r>
    </w:p>
    <w:p>
      <w:pPr>
        <w:ind w:left="791"/>
        <w:spacing w:before="2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6</w:t>
      </w:r>
      <w:r>
        <w:rPr>
          <w:rFonts w:ascii="FangSong" w:hAnsi="FangSong" w:eastAsia="FangSong" w:cs="FangSong"/>
          <w:sz w:val="31"/>
          <w:szCs w:val="31"/>
          <w:spacing w:val="6"/>
        </w:rPr>
        <w:t>、负责学校精神文明建设、党风廉政建设工作；</w:t>
      </w:r>
    </w:p>
    <w:p>
      <w:pPr>
        <w:ind w:left="3" w:right="2" w:firstLine="634"/>
        <w:spacing w:before="203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7</w:t>
      </w:r>
      <w:r>
        <w:rPr>
          <w:rFonts w:ascii="FangSong" w:hAnsi="FangSong" w:eastAsia="FangSong" w:cs="FangSong"/>
          <w:sz w:val="31"/>
          <w:szCs w:val="31"/>
          <w:spacing w:val="11"/>
        </w:rPr>
        <w:t>、负责规划实施学校品德教育、体育教育、艺术</w:t>
      </w:r>
      <w:r>
        <w:rPr>
          <w:rFonts w:ascii="FangSong" w:hAnsi="FangSong" w:eastAsia="FangSong" w:cs="FangSong"/>
          <w:sz w:val="31"/>
          <w:szCs w:val="31"/>
          <w:spacing w:val="10"/>
        </w:rPr>
        <w:t>教育和劳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动教育；负责学校社会治安综合治理及安全保卫工作。</w:t>
      </w:r>
    </w:p>
    <w:p>
      <w:pPr>
        <w:spacing w:line="285" w:lineRule="auto"/>
        <w:sectPr>
          <w:pgSz w:w="11900" w:h="16840"/>
          <w:pgMar w:top="400" w:right="1515" w:bottom="0" w:left="1552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94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二、机构设置</w: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3387"/>
        <w:gridCol w:w="2394"/>
        <w:gridCol w:w="2617"/>
      </w:tblGrid>
      <w:tr>
        <w:trPr>
          <w:trHeight w:val="347" w:hRule="atLeast"/>
        </w:trPr>
        <w:tc>
          <w:tcPr>
            <w:tcW w:w="1012" w:type="dxa"/>
            <w:vAlign w:val="top"/>
          </w:tcPr>
          <w:p>
            <w:pPr>
              <w:ind w:left="299"/>
              <w:spacing w:before="6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序号</w:t>
            </w:r>
          </w:p>
        </w:tc>
        <w:tc>
          <w:tcPr>
            <w:tcW w:w="3387" w:type="dxa"/>
            <w:vAlign w:val="top"/>
          </w:tcPr>
          <w:p>
            <w:pPr>
              <w:ind w:left="1280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单位名称</w:t>
            </w:r>
          </w:p>
        </w:tc>
        <w:tc>
          <w:tcPr>
            <w:tcW w:w="2394" w:type="dxa"/>
            <w:vAlign w:val="top"/>
          </w:tcPr>
          <w:p>
            <w:pPr>
              <w:ind w:left="573"/>
              <w:spacing w:before="6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单位基本性质</w:t>
            </w:r>
          </w:p>
        </w:tc>
        <w:tc>
          <w:tcPr>
            <w:tcW w:w="2617" w:type="dxa"/>
            <w:vAlign w:val="top"/>
          </w:tcPr>
          <w:p>
            <w:pPr>
              <w:ind w:left="894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经费形式</w:t>
            </w:r>
          </w:p>
        </w:tc>
      </w:tr>
      <w:tr>
        <w:trPr>
          <w:trHeight w:val="350" w:hRule="atLeast"/>
        </w:trPr>
        <w:tc>
          <w:tcPr>
            <w:tcW w:w="1012" w:type="dxa"/>
            <w:vAlign w:val="top"/>
          </w:tcPr>
          <w:p>
            <w:pPr>
              <w:ind w:left="468"/>
              <w:spacing w:before="112" w:line="183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b/>
                <w:bCs/>
              </w:rPr>
              <w:t>1</w:t>
            </w:r>
          </w:p>
        </w:tc>
        <w:tc>
          <w:tcPr>
            <w:tcW w:w="3387" w:type="dxa"/>
            <w:vAlign w:val="top"/>
          </w:tcPr>
          <w:p>
            <w:pPr>
              <w:ind w:left="331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河北省交通职业技术学校</w:t>
            </w:r>
          </w:p>
        </w:tc>
        <w:tc>
          <w:tcPr>
            <w:tcW w:w="2394" w:type="dxa"/>
            <w:vAlign w:val="top"/>
          </w:tcPr>
          <w:p>
            <w:pPr>
              <w:ind w:left="340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财政补助事业单位</w:t>
            </w:r>
          </w:p>
        </w:tc>
        <w:tc>
          <w:tcPr>
            <w:tcW w:w="2617" w:type="dxa"/>
            <w:vAlign w:val="top"/>
          </w:tcPr>
          <w:p>
            <w:pPr>
              <w:ind w:left="921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定项补助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400" w:right="1239" w:bottom="0" w:left="1245" w:header="0" w:footer="0" w:gutter="0"/>
        </w:sectPr>
        <w:rPr/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firstLine="3415"/>
        <w:spacing w:line="512" w:lineRule="exact"/>
        <w:rPr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774572</wp:posOffset>
            </wp:positionH>
            <wp:positionV relativeFrom="paragraph">
              <wp:posOffset>510</wp:posOffset>
            </wp:positionV>
            <wp:extent cx="1161288" cy="324611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1288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2346959" cy="32461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695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2" w:lineRule="exact"/>
        <w:sectPr>
          <w:pgSz w:w="11900" w:h="16840"/>
          <w:pgMar w:top="400" w:right="1785" w:bottom="0" w:left="1785" w:header="0" w:footer="0" w:gutter="0"/>
        </w:sectPr>
        <w:rPr/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6939" w:lineRule="exact"/>
        <w:rPr/>
      </w:pPr>
      <w:r>
        <w:rPr>
          <w:position w:val="-138"/>
        </w:rPr>
        <w:drawing>
          <wp:inline distT="0" distB="0" distL="0" distR="0">
            <wp:extent cx="6623304" cy="440588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3304" cy="440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39" w:lineRule="exact"/>
        <w:sectPr>
          <w:pgSz w:w="11900" w:h="16840"/>
          <w:pgMar w:top="400" w:right="727" w:bottom="0" w:left="741" w:header="0" w:footer="0" w:gutter="0"/>
        </w:sectPr>
        <w:rPr/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3164" w:lineRule="exact"/>
        <w:rPr/>
      </w:pPr>
      <w:r>
        <w:rPr>
          <w:position w:val="-63"/>
        </w:rPr>
        <w:drawing>
          <wp:inline distT="0" distB="0" distL="0" distR="0">
            <wp:extent cx="6623303" cy="200863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3303" cy="20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4" w:lineRule="exact"/>
        <w:sectPr>
          <w:pgSz w:w="11900" w:h="16840"/>
          <w:pgMar w:top="400" w:right="728" w:bottom="0" w:left="741" w:header="0" w:footer="0" w:gutter="0"/>
        </w:sectPr>
        <w:rPr/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3164" w:lineRule="exact"/>
        <w:rPr/>
      </w:pPr>
      <w:r>
        <w:rPr>
          <w:position w:val="-63"/>
        </w:rPr>
        <w:drawing>
          <wp:inline distT="0" distB="0" distL="0" distR="0">
            <wp:extent cx="6623303" cy="200863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3303" cy="20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4" w:lineRule="exact"/>
        <w:sectPr>
          <w:pgSz w:w="11900" w:h="16840"/>
          <w:pgMar w:top="400" w:right="728" w:bottom="0" w:left="741" w:header="0" w:footer="0" w:gutter="0"/>
        </w:sectPr>
        <w:rPr/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6934" w:lineRule="exact"/>
        <w:rPr/>
      </w:pPr>
      <w:r>
        <w:rPr>
          <w:position w:val="-138"/>
        </w:rPr>
        <w:drawing>
          <wp:inline distT="0" distB="0" distL="0" distR="0">
            <wp:extent cx="6623303" cy="440283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3303" cy="44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34" w:lineRule="exact"/>
        <w:sectPr>
          <w:pgSz w:w="11900" w:h="16840"/>
          <w:pgMar w:top="400" w:right="728" w:bottom="0" w:left="741" w:header="0" w:footer="0" w:gutter="0"/>
        </w:sectPr>
        <w:rPr/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3140" w:lineRule="exact"/>
        <w:rPr/>
      </w:pPr>
      <w:r>
        <w:rPr>
          <w:position w:val="-62"/>
        </w:rPr>
        <w:drawing>
          <wp:inline distT="0" distB="0" distL="0" distR="0">
            <wp:extent cx="6623303" cy="199339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3303" cy="199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0" w:lineRule="exact"/>
        <w:sectPr>
          <w:pgSz w:w="11900" w:h="16840"/>
          <w:pgMar w:top="400" w:right="728" w:bottom="0" w:left="741" w:header="0" w:footer="0" w:gutter="0"/>
        </w:sectPr>
        <w:rPr/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6768" w:lineRule="exact"/>
        <w:rPr/>
      </w:pPr>
      <w:r>
        <w:rPr>
          <w:position w:val="-135"/>
        </w:rPr>
        <w:drawing>
          <wp:inline distT="0" distB="0" distL="0" distR="0">
            <wp:extent cx="6382511" cy="429767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2511" cy="429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768" w:lineRule="exact"/>
        <w:sectPr>
          <w:pgSz w:w="11900" w:h="16840"/>
          <w:pgMar w:top="400" w:right="917" w:bottom="0" w:left="931" w:header="0" w:footer="0" w:gutter="0"/>
        </w:sectPr>
        <w:rPr/>
      </w:pPr>
    </w:p>
    <w:p>
      <w:pPr>
        <w:pStyle w:val="BodyText"/>
        <w:spacing w:line="455" w:lineRule="auto"/>
        <w:rPr/>
      </w:pPr>
      <w:r/>
    </w:p>
    <w:p>
      <w:pPr>
        <w:ind w:left="3424"/>
        <w:spacing w:before="77" w:line="185" w:lineRule="exact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19"/>
          <w:position w:val="-1"/>
        </w:rPr>
        <w:t>政府性基金预算财政拨款收入支出决算表</w:t>
      </w:r>
    </w:p>
    <w:p>
      <w:pPr>
        <w:spacing w:before="51"/>
        <w:rPr/>
      </w:pPr>
      <w:r/>
    </w:p>
    <w:p>
      <w:pPr>
        <w:spacing w:before="51"/>
        <w:rPr/>
      </w:pPr>
      <w:r/>
    </w:p>
    <w:p>
      <w:pPr>
        <w:sectPr>
          <w:pgSz w:w="11900" w:h="16840"/>
          <w:pgMar w:top="400" w:right="728" w:bottom="0" w:left="741" w:header="0" w:footer="0" w:gutter="0"/>
          <w:cols w:equalWidth="0" w:num="1">
            <w:col w:w="10431" w:space="0"/>
          </w:cols>
        </w:sectPr>
        <w:rPr/>
      </w:pPr>
    </w:p>
    <w:p>
      <w:pPr>
        <w:pStyle w:val="BodyText"/>
        <w:ind w:left="7"/>
        <w:spacing w:before="216" w:line="134" w:lineRule="exact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spacing w:val="12"/>
          <w:position w:val="-1"/>
        </w:rPr>
        <w:t>部门</w:t>
      </w:r>
      <w:r>
        <w:rPr>
          <w:rFonts w:ascii="Microsoft YaHei" w:hAnsi="Microsoft YaHei" w:eastAsia="Microsoft YaHei" w:cs="Microsoft YaHei"/>
          <w:sz w:val="13"/>
          <w:szCs w:val="13"/>
          <w:spacing w:val="-2"/>
          <w:position w:val="-1"/>
        </w:rPr>
        <w:t xml:space="preserve"> </w:t>
      </w:r>
      <w:r>
        <w:rPr>
          <w:sz w:val="13"/>
          <w:szCs w:val="13"/>
          <w:spacing w:val="12"/>
          <w:position w:val="-1"/>
        </w:rPr>
        <w:t>:</w:t>
      </w:r>
      <w:r>
        <w:rPr>
          <w:sz w:val="13"/>
          <w:szCs w:val="13"/>
          <w:spacing w:val="18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3"/>
          <w:szCs w:val="13"/>
          <w:spacing w:val="12"/>
          <w:position w:val="-1"/>
        </w:rPr>
        <w:t>河北省交通职业技术学校</w:t>
      </w:r>
    </w:p>
    <w:p>
      <w:pPr>
        <w:spacing w:line="26" w:lineRule="exact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4922"/>
        <w:spacing w:before="25" w:line="157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公开07表</w:t>
      </w:r>
    </w:p>
    <w:p>
      <w:pPr>
        <w:spacing w:before="54" w:line="157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2022年度</w:t>
      </w:r>
      <w:r>
        <w:rPr>
          <w:rFonts w:ascii="Microsoft YaHei" w:hAnsi="Microsoft YaHei" w:eastAsia="Microsoft YaHei" w:cs="Microsoft YaHei"/>
          <w:sz w:val="12"/>
          <w:szCs w:val="12"/>
        </w:rPr>
        <w:t xml:space="preserve">                                                                                                                      </w:t>
      </w: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单位:</w:t>
      </w:r>
      <w:r>
        <w:rPr>
          <w:rFonts w:ascii="Microsoft YaHei" w:hAnsi="Microsoft YaHei" w:eastAsia="Microsoft YaHei" w:cs="Microsoft YaHei"/>
          <w:sz w:val="12"/>
          <w:szCs w:val="12"/>
          <w:spacing w:val="9"/>
          <w:w w:val="102"/>
        </w:rPr>
        <w:t xml:space="preserve">   </w:t>
      </w: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万元</w:t>
      </w:r>
    </w:p>
    <w:p>
      <w:pPr>
        <w:spacing w:line="157" w:lineRule="auto"/>
        <w:sectPr>
          <w:type w:val="continuous"/>
          <w:pgSz w:w="11900" w:h="16840"/>
          <w:pgMar w:top="400" w:right="728" w:bottom="0" w:left="741" w:header="0" w:footer="0" w:gutter="0"/>
          <w:cols w:equalWidth="0" w:num="2">
            <w:col w:w="4811" w:space="100"/>
            <w:col w:w="5520" w:space="0"/>
          </w:cols>
        </w:sectPr>
        <w:rPr>
          <w:rFonts w:ascii="Microsoft YaHei" w:hAnsi="Microsoft YaHei" w:eastAsia="Microsoft YaHei" w:cs="Microsoft YaHei"/>
          <w:sz w:val="12"/>
          <w:szCs w:val="12"/>
        </w:rPr>
      </w:pPr>
    </w:p>
    <w:p>
      <w:pPr>
        <w:spacing w:line="21" w:lineRule="exact"/>
        <w:rPr/>
      </w:pPr>
      <w:r/>
    </w:p>
    <w:tbl>
      <w:tblPr>
        <w:tblStyle w:val="TableNormal"/>
        <w:tblW w:w="104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7"/>
        <w:gridCol w:w="2736"/>
        <w:gridCol w:w="1166"/>
        <w:gridCol w:w="1167"/>
        <w:gridCol w:w="1167"/>
        <w:gridCol w:w="1166"/>
        <w:gridCol w:w="1167"/>
        <w:gridCol w:w="1169"/>
      </w:tblGrid>
      <w:tr>
        <w:trPr>
          <w:trHeight w:val="194" w:hRule="atLeast"/>
        </w:trPr>
        <w:tc>
          <w:tcPr>
            <w:tcW w:w="3423" w:type="dxa"/>
            <w:vAlign w:val="top"/>
            <w:gridSpan w:val="2"/>
          </w:tcPr>
          <w:p>
            <w:pPr>
              <w:ind w:left="1070"/>
              <w:spacing w:before="40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2"/>
              </w:rPr>
              <w:t>项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"/>
              </w:rPr>
              <w:t xml:space="preserve">                         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2"/>
              </w:rPr>
              <w:t>目</w:t>
            </w:r>
          </w:p>
        </w:tc>
        <w:tc>
          <w:tcPr>
            <w:tcW w:w="11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>
                <w:sz w:val="21"/>
              </w:rPr>
            </w:pPr>
            <w:r/>
          </w:p>
          <w:p>
            <w:pPr>
              <w:ind w:left="131"/>
              <w:spacing w:before="52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7"/>
                <w:position w:val="-1"/>
              </w:rPr>
              <w:t>年初结转和结余</w:t>
            </w:r>
          </w:p>
        </w:tc>
        <w:tc>
          <w:tcPr>
            <w:tcW w:w="11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>
                <w:sz w:val="21"/>
              </w:rPr>
            </w:pPr>
            <w:r/>
          </w:p>
          <w:p>
            <w:pPr>
              <w:ind w:left="325"/>
              <w:spacing w:before="52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6"/>
                <w:position w:val="-1"/>
              </w:rPr>
              <w:t>本年收入</w:t>
            </w:r>
          </w:p>
        </w:tc>
        <w:tc>
          <w:tcPr>
            <w:tcW w:w="3500" w:type="dxa"/>
            <w:vAlign w:val="top"/>
            <w:gridSpan w:val="3"/>
          </w:tcPr>
          <w:p>
            <w:pPr>
              <w:ind w:left="1494"/>
              <w:spacing w:before="40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3"/>
                <w:position w:val="-1"/>
              </w:rPr>
              <w:t>本年支出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>
                <w:sz w:val="21"/>
              </w:rPr>
            </w:pPr>
            <w:r/>
          </w:p>
          <w:p>
            <w:pPr>
              <w:ind w:left="132"/>
              <w:spacing w:before="52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7"/>
                <w:position w:val="-1"/>
              </w:rPr>
              <w:t>年末结转和结余</w:t>
            </w:r>
          </w:p>
        </w:tc>
      </w:tr>
      <w:tr>
        <w:trPr>
          <w:trHeight w:val="590" w:hRule="atLeast"/>
        </w:trPr>
        <w:tc>
          <w:tcPr>
            <w:tcW w:w="687" w:type="dxa"/>
            <w:vAlign w:val="top"/>
          </w:tcPr>
          <w:p>
            <w:pPr>
              <w:ind w:left="90"/>
              <w:spacing w:before="237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6"/>
              </w:rPr>
              <w:t>科目代码</w:t>
            </w:r>
          </w:p>
        </w:tc>
        <w:tc>
          <w:tcPr>
            <w:tcW w:w="2736" w:type="dxa"/>
            <w:vAlign w:val="top"/>
          </w:tcPr>
          <w:p>
            <w:pPr>
              <w:ind w:left="1108"/>
              <w:spacing w:before="237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5"/>
              </w:rPr>
              <w:t>科目名称</w:t>
            </w:r>
          </w:p>
        </w:tc>
        <w:tc>
          <w:tcPr>
            <w:tcW w:w="11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459"/>
              <w:spacing w:before="237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1"/>
              </w:rPr>
              <w:t>小计</w:t>
            </w:r>
          </w:p>
        </w:tc>
        <w:tc>
          <w:tcPr>
            <w:tcW w:w="1166" w:type="dxa"/>
            <w:vAlign w:val="top"/>
          </w:tcPr>
          <w:p>
            <w:pPr>
              <w:ind w:left="327"/>
              <w:spacing w:before="237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3"/>
              </w:rPr>
              <w:t>基本支出</w:t>
            </w:r>
          </w:p>
        </w:tc>
        <w:tc>
          <w:tcPr>
            <w:tcW w:w="1167" w:type="dxa"/>
            <w:vAlign w:val="top"/>
          </w:tcPr>
          <w:p>
            <w:pPr>
              <w:ind w:left="332"/>
              <w:spacing w:before="237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3"/>
              </w:rPr>
              <w:t>项目支出</w:t>
            </w:r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93" w:hRule="atLeast"/>
        </w:trPr>
        <w:tc>
          <w:tcPr>
            <w:tcW w:w="3423" w:type="dxa"/>
            <w:vAlign w:val="top"/>
            <w:gridSpan w:val="2"/>
          </w:tcPr>
          <w:p>
            <w:pPr>
              <w:ind w:left="1583"/>
              <w:spacing w:before="41" w:line="117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4"/>
              </w:rPr>
              <w:t>栏次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58"/>
              <w:spacing w:before="55" w:line="232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color w:val="5C5C5C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51"/>
              <w:spacing w:before="55" w:line="232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spacing w:val="5"/>
              </w:rP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55"/>
              <w:spacing w:before="55" w:line="232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spacing w:val="3"/>
              </w:rPr>
              <w:t>3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52"/>
              <w:spacing w:before="55" w:line="20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5"/>
              </w:rPr>
              <w:t>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557"/>
              <w:spacing w:before="57" w:line="225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spacing w:val="3"/>
              </w:rPr>
              <w:t>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52"/>
              <w:spacing w:before="55" w:line="20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color w:val="464646"/>
                <w:spacing w:val="2"/>
              </w:rPr>
              <w:t>6</w:t>
            </w:r>
          </w:p>
        </w:tc>
      </w:tr>
      <w:tr>
        <w:trPr>
          <w:trHeight w:val="193" w:hRule="atLeast"/>
        </w:trPr>
        <w:tc>
          <w:tcPr>
            <w:tcW w:w="3423" w:type="dxa"/>
            <w:vAlign w:val="top"/>
            <w:gridSpan w:val="2"/>
          </w:tcPr>
          <w:p>
            <w:pPr>
              <w:ind w:left="1067"/>
              <w:spacing w:before="42" w:line="117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9"/>
              </w:rPr>
              <w:t>合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</w:rPr>
              <w:t xml:space="preserve">                             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9"/>
              </w:rPr>
              <w:t>计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spacing w:line="183" w:lineRule="exact"/>
              <w:rPr>
                <w:sz w:val="15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spacing w:line="183" w:lineRule="exact"/>
              <w:rPr>
                <w:sz w:val="15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spacing w:line="183" w:lineRule="exact"/>
              <w:rPr>
                <w:sz w:val="15"/>
              </w:rPr>
            </w:pPr>
            <w:r/>
          </w:p>
        </w:tc>
        <w:tc>
          <w:tcPr>
            <w:tcW w:w="1166" w:type="dxa"/>
            <w:vAlign w:val="top"/>
          </w:tcPr>
          <w:p>
            <w:pPr>
              <w:pStyle w:val="TableText"/>
              <w:spacing w:line="183" w:lineRule="exact"/>
              <w:rPr>
                <w:sz w:val="15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spacing w:line="183" w:lineRule="exact"/>
              <w:rPr>
                <w:sz w:val="15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spacing w:line="183" w:lineRule="exact"/>
              <w:rPr>
                <w:sz w:val="15"/>
              </w:rPr>
            </w:pPr>
            <w:r/>
          </w:p>
        </w:tc>
      </w:tr>
      <w:tr>
        <w:trPr>
          <w:trHeight w:val="196" w:hRule="atLeast"/>
        </w:trPr>
        <w:tc>
          <w:tcPr>
            <w:tcW w:w="687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2736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1166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1166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spacing w:line="185" w:lineRule="exact"/>
              <w:rPr/>
            </w:pPr>
            <w:r/>
          </w:p>
        </w:tc>
      </w:tr>
    </w:tbl>
    <w:p>
      <w:pPr>
        <w:pStyle w:val="BodyText"/>
        <w:ind w:left="35"/>
        <w:spacing w:before="33" w:line="120" w:lineRule="exact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注</w:t>
      </w:r>
      <w:r>
        <w:rPr>
          <w:rFonts w:ascii="Microsoft YaHei" w:hAnsi="Microsoft YaHei" w:eastAsia="Microsoft YaHei" w:cs="Microsoft YaHei"/>
          <w:sz w:val="12"/>
          <w:szCs w:val="12"/>
          <w:spacing w:val="-13"/>
          <w:position w:val="-1"/>
        </w:rPr>
        <w:t xml:space="preserve"> </w:t>
      </w:r>
      <w:r>
        <w:rPr>
          <w:sz w:val="12"/>
          <w:szCs w:val="12"/>
          <w:spacing w:val="6"/>
          <w:position w:val="-1"/>
        </w:rPr>
        <w:t>:</w:t>
      </w:r>
      <w:r>
        <w:rPr>
          <w:sz w:val="12"/>
          <w:szCs w:val="12"/>
          <w:spacing w:val="15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本部门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(或单位)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本年度无收支及结转结余情况</w:t>
      </w:r>
      <w:r>
        <w:rPr>
          <w:rFonts w:ascii="Microsoft YaHei" w:hAnsi="Microsoft YaHei" w:eastAsia="Microsoft YaHei" w:cs="Microsoft YaHei"/>
          <w:sz w:val="12"/>
          <w:szCs w:val="12"/>
          <w:spacing w:val="-16"/>
          <w:position w:val="-1"/>
        </w:rPr>
        <w:t xml:space="preserve"> </w:t>
      </w:r>
      <w:r>
        <w:rPr>
          <w:sz w:val="12"/>
          <w:szCs w:val="12"/>
          <w:spacing w:val="6"/>
          <w:position w:val="-1"/>
        </w:rPr>
        <w:t>,</w:t>
      </w:r>
      <w:r>
        <w:rPr>
          <w:sz w:val="12"/>
          <w:szCs w:val="12"/>
          <w:spacing w:val="6"/>
          <w:position w:val="-1"/>
        </w:rPr>
        <w:t xml:space="preserve">   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按</w:t>
      </w:r>
      <w:r>
        <w:rPr>
          <w:rFonts w:ascii="Microsoft YaHei" w:hAnsi="Microsoft YaHei" w:eastAsia="Microsoft YaHei" w:cs="Microsoft YaHei"/>
          <w:sz w:val="12"/>
          <w:szCs w:val="12"/>
          <w:spacing w:val="5"/>
          <w:position w:val="-1"/>
        </w:rPr>
        <w:t>要求以空表列示。</w:t>
      </w:r>
    </w:p>
    <w:p>
      <w:pPr>
        <w:spacing w:line="120" w:lineRule="exact"/>
        <w:sectPr>
          <w:type w:val="continuous"/>
          <w:pgSz w:w="11900" w:h="16840"/>
          <w:pgMar w:top="400" w:right="728" w:bottom="0" w:left="741" w:header="0" w:footer="0" w:gutter="0"/>
          <w:cols w:equalWidth="0" w:num="1">
            <w:col w:w="10431" w:space="0"/>
          </w:cols>
        </w:sectPr>
        <w:rPr>
          <w:rFonts w:ascii="Microsoft YaHei" w:hAnsi="Microsoft YaHei" w:eastAsia="Microsoft YaHei" w:cs="Microsoft YaHei"/>
          <w:sz w:val="12"/>
          <w:szCs w:val="12"/>
        </w:rPr>
      </w:pPr>
    </w:p>
    <w:p>
      <w:pPr>
        <w:pStyle w:val="BodyText"/>
        <w:spacing w:line="455" w:lineRule="auto"/>
        <w:rPr/>
      </w:pPr>
      <w:r/>
    </w:p>
    <w:p>
      <w:pPr>
        <w:ind w:left="3537"/>
        <w:spacing w:before="77" w:line="185" w:lineRule="exact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19"/>
          <w:position w:val="-1"/>
        </w:rPr>
        <w:t>国有资本经营预算财政拨款支出决算表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ectPr>
          <w:pgSz w:w="11900" w:h="16840"/>
          <w:pgMar w:top="400" w:right="728" w:bottom="0" w:left="741" w:header="0" w:footer="0" w:gutter="0"/>
          <w:cols w:equalWidth="0" w:num="1">
            <w:col w:w="10431" w:space="0"/>
          </w:cols>
        </w:sectPr>
        <w:rPr/>
      </w:pPr>
    </w:p>
    <w:p>
      <w:pPr>
        <w:pStyle w:val="BodyText"/>
        <w:ind w:left="7"/>
        <w:spacing w:before="216" w:line="134" w:lineRule="exact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spacing w:val="12"/>
          <w:position w:val="-1"/>
        </w:rPr>
        <w:t>部门</w:t>
      </w:r>
      <w:r>
        <w:rPr>
          <w:rFonts w:ascii="Microsoft YaHei" w:hAnsi="Microsoft YaHei" w:eastAsia="Microsoft YaHei" w:cs="Microsoft YaHei"/>
          <w:sz w:val="13"/>
          <w:szCs w:val="13"/>
          <w:spacing w:val="-1"/>
          <w:position w:val="-1"/>
        </w:rPr>
        <w:t xml:space="preserve"> </w:t>
      </w:r>
      <w:r>
        <w:rPr>
          <w:sz w:val="13"/>
          <w:szCs w:val="13"/>
          <w:spacing w:val="12"/>
          <w:position w:val="-1"/>
        </w:rPr>
        <w:t>:</w:t>
      </w:r>
      <w:r>
        <w:rPr>
          <w:sz w:val="13"/>
          <w:szCs w:val="13"/>
          <w:spacing w:val="17"/>
          <w:w w:val="10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3"/>
          <w:szCs w:val="13"/>
          <w:spacing w:val="12"/>
          <w:position w:val="-1"/>
        </w:rPr>
        <w:t>河北省交通职业技术学校</w:t>
      </w:r>
    </w:p>
    <w:p>
      <w:pPr>
        <w:spacing w:line="26" w:lineRule="exact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4922"/>
        <w:spacing w:before="25" w:line="157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公开08表</w:t>
      </w:r>
    </w:p>
    <w:p>
      <w:pPr>
        <w:spacing w:before="54" w:line="157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2022年度</w:t>
      </w:r>
      <w:r>
        <w:rPr>
          <w:rFonts w:ascii="Microsoft YaHei" w:hAnsi="Microsoft YaHei" w:eastAsia="Microsoft YaHei" w:cs="Microsoft YaHei"/>
          <w:sz w:val="12"/>
          <w:szCs w:val="12"/>
        </w:rPr>
        <w:t xml:space="preserve">                                                                                                                      </w:t>
      </w: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单位:</w:t>
      </w:r>
      <w:r>
        <w:rPr>
          <w:rFonts w:ascii="Microsoft YaHei" w:hAnsi="Microsoft YaHei" w:eastAsia="Microsoft YaHei" w:cs="Microsoft YaHei"/>
          <w:sz w:val="12"/>
          <w:szCs w:val="12"/>
          <w:spacing w:val="9"/>
          <w:w w:val="102"/>
        </w:rPr>
        <w:t xml:space="preserve">   </w:t>
      </w:r>
      <w:r>
        <w:rPr>
          <w:rFonts w:ascii="Microsoft YaHei" w:hAnsi="Microsoft YaHei" w:eastAsia="Microsoft YaHei" w:cs="Microsoft YaHei"/>
          <w:sz w:val="12"/>
          <w:szCs w:val="12"/>
          <w:spacing w:val="13"/>
        </w:rPr>
        <w:t>万元</w:t>
      </w:r>
    </w:p>
    <w:p>
      <w:pPr>
        <w:spacing w:line="157" w:lineRule="auto"/>
        <w:sectPr>
          <w:type w:val="continuous"/>
          <w:pgSz w:w="11900" w:h="16840"/>
          <w:pgMar w:top="400" w:right="728" w:bottom="0" w:left="741" w:header="0" w:footer="0" w:gutter="0"/>
          <w:cols w:equalWidth="0" w:num="2">
            <w:col w:w="4811" w:space="100"/>
            <w:col w:w="5520" w:space="0"/>
          </w:cols>
        </w:sectPr>
        <w:rPr>
          <w:rFonts w:ascii="Microsoft YaHei" w:hAnsi="Microsoft YaHei" w:eastAsia="Microsoft YaHei" w:cs="Microsoft YaHei"/>
          <w:sz w:val="12"/>
          <w:szCs w:val="12"/>
        </w:rPr>
      </w:pPr>
    </w:p>
    <w:p>
      <w:pPr>
        <w:spacing w:line="21" w:lineRule="exact"/>
        <w:rPr/>
      </w:pPr>
      <w:r/>
    </w:p>
    <w:tbl>
      <w:tblPr>
        <w:tblStyle w:val="TableNormal"/>
        <w:tblW w:w="104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4"/>
        <w:gridCol w:w="4114"/>
        <w:gridCol w:w="1758"/>
        <w:gridCol w:w="1758"/>
        <w:gridCol w:w="1761"/>
      </w:tblGrid>
      <w:tr>
        <w:trPr>
          <w:trHeight w:val="191" w:hRule="atLeast"/>
        </w:trPr>
        <w:tc>
          <w:tcPr>
            <w:tcW w:w="5148" w:type="dxa"/>
            <w:vAlign w:val="top"/>
            <w:gridSpan w:val="2"/>
          </w:tcPr>
          <w:p>
            <w:pPr>
              <w:ind w:left="1646"/>
              <w:spacing w:before="40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3"/>
              </w:rPr>
              <w:t>项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</w:rPr>
              <w:t xml:space="preserve">                                               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3"/>
              </w:rPr>
              <w:t>目</w:t>
            </w:r>
          </w:p>
        </w:tc>
        <w:tc>
          <w:tcPr>
            <w:tcW w:w="5277" w:type="dxa"/>
            <w:vAlign w:val="top"/>
            <w:gridSpan w:val="3"/>
          </w:tcPr>
          <w:p>
            <w:pPr>
              <w:ind w:left="2385"/>
              <w:spacing w:before="38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3"/>
                <w:position w:val="-1"/>
              </w:rPr>
              <w:t>本年支出</w:t>
            </w:r>
          </w:p>
        </w:tc>
      </w:tr>
      <w:tr>
        <w:trPr>
          <w:trHeight w:val="590" w:hRule="atLeast"/>
        </w:trPr>
        <w:tc>
          <w:tcPr>
            <w:tcW w:w="1034" w:type="dxa"/>
            <w:vAlign w:val="top"/>
          </w:tcPr>
          <w:p>
            <w:pPr>
              <w:ind w:left="263"/>
              <w:spacing w:before="238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5"/>
                <w:position w:val="-1"/>
              </w:rPr>
              <w:t>科目代码</w:t>
            </w:r>
          </w:p>
        </w:tc>
        <w:tc>
          <w:tcPr>
            <w:tcW w:w="4114" w:type="dxa"/>
            <w:vAlign w:val="top"/>
          </w:tcPr>
          <w:p>
            <w:pPr>
              <w:ind w:left="1802"/>
              <w:spacing w:before="238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5"/>
                <w:position w:val="-1"/>
              </w:rPr>
              <w:t>科目名称</w:t>
            </w:r>
          </w:p>
        </w:tc>
        <w:tc>
          <w:tcPr>
            <w:tcW w:w="1758" w:type="dxa"/>
            <w:vAlign w:val="top"/>
          </w:tcPr>
          <w:p>
            <w:pPr>
              <w:ind w:left="753"/>
              <w:spacing w:before="238" w:line="117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3"/>
              </w:rPr>
              <w:t>合计</w:t>
            </w:r>
          </w:p>
        </w:tc>
        <w:tc>
          <w:tcPr>
            <w:tcW w:w="1758" w:type="dxa"/>
            <w:vAlign w:val="top"/>
          </w:tcPr>
          <w:p>
            <w:pPr>
              <w:ind w:left="625"/>
              <w:spacing w:before="238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4"/>
                <w:position w:val="-1"/>
              </w:rPr>
              <w:t>基本支出</w:t>
            </w:r>
          </w:p>
        </w:tc>
        <w:tc>
          <w:tcPr>
            <w:tcW w:w="1761" w:type="dxa"/>
            <w:vAlign w:val="top"/>
          </w:tcPr>
          <w:p>
            <w:pPr>
              <w:ind w:left="623"/>
              <w:spacing w:before="238" w:line="117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3"/>
              </w:rPr>
              <w:t>项目支出</w:t>
            </w:r>
          </w:p>
        </w:tc>
      </w:tr>
      <w:tr>
        <w:trPr>
          <w:trHeight w:val="193" w:hRule="atLeast"/>
        </w:trPr>
        <w:tc>
          <w:tcPr>
            <w:tcW w:w="5148" w:type="dxa"/>
            <w:vAlign w:val="top"/>
            <w:gridSpan w:val="2"/>
          </w:tcPr>
          <w:p>
            <w:pPr>
              <w:ind w:left="2450"/>
              <w:spacing w:before="41" w:line="120" w:lineRule="exact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3"/>
                <w:position w:val="-1"/>
              </w:rPr>
              <w:t>栏次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859"/>
              <w:spacing w:before="58" w:line="225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color w:val="515151"/>
              </w:rPr>
              <w:t>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853"/>
              <w:spacing w:before="58" w:line="225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spacing w:val="5"/>
              </w:rP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left="851"/>
              <w:spacing w:before="58" w:line="232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spacing w:val="3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5148" w:type="dxa"/>
            <w:vAlign w:val="top"/>
            <w:gridSpan w:val="2"/>
          </w:tcPr>
          <w:p>
            <w:pPr>
              <w:ind w:left="1643"/>
              <w:spacing w:before="42" w:line="118" w:lineRule="exac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9"/>
              </w:rPr>
              <w:t>合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1"/>
              </w:rPr>
              <w:t xml:space="preserve">                      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</w:rPr>
              <w:t xml:space="preserve">                     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spacing w:val="9"/>
              </w:rPr>
              <w:t>计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spacing w:line="184" w:lineRule="exact"/>
              <w:rPr/>
            </w:pPr>
            <w:r/>
          </w:p>
        </w:tc>
        <w:tc>
          <w:tcPr>
            <w:tcW w:w="1758" w:type="dxa"/>
            <w:vAlign w:val="top"/>
          </w:tcPr>
          <w:p>
            <w:pPr>
              <w:pStyle w:val="TableText"/>
              <w:spacing w:line="184" w:lineRule="exact"/>
              <w:rPr/>
            </w:pPr>
            <w:r/>
          </w:p>
        </w:tc>
        <w:tc>
          <w:tcPr>
            <w:tcW w:w="1761" w:type="dxa"/>
            <w:vAlign w:val="top"/>
          </w:tcPr>
          <w:p>
            <w:pPr>
              <w:pStyle w:val="TableText"/>
              <w:spacing w:line="184" w:lineRule="exact"/>
              <w:rPr/>
            </w:pPr>
            <w:r/>
          </w:p>
        </w:tc>
      </w:tr>
      <w:tr>
        <w:trPr>
          <w:trHeight w:val="198" w:hRule="atLeast"/>
        </w:trPr>
        <w:tc>
          <w:tcPr>
            <w:tcW w:w="1034" w:type="dxa"/>
            <w:vAlign w:val="top"/>
          </w:tcPr>
          <w:p>
            <w:pPr>
              <w:pStyle w:val="TableText"/>
              <w:spacing w:line="188" w:lineRule="exact"/>
              <w:rPr/>
            </w:pPr>
            <w:r/>
          </w:p>
        </w:tc>
        <w:tc>
          <w:tcPr>
            <w:tcW w:w="4114" w:type="dxa"/>
            <w:vAlign w:val="top"/>
          </w:tcPr>
          <w:p>
            <w:pPr>
              <w:pStyle w:val="TableText"/>
              <w:spacing w:line="188" w:lineRule="exact"/>
              <w:rPr/>
            </w:pPr>
            <w:r/>
          </w:p>
        </w:tc>
        <w:tc>
          <w:tcPr>
            <w:tcW w:w="1758" w:type="dxa"/>
            <w:vAlign w:val="top"/>
          </w:tcPr>
          <w:p>
            <w:pPr>
              <w:pStyle w:val="TableText"/>
              <w:spacing w:line="188" w:lineRule="exact"/>
              <w:rPr/>
            </w:pPr>
            <w:r/>
          </w:p>
        </w:tc>
        <w:tc>
          <w:tcPr>
            <w:tcW w:w="1758" w:type="dxa"/>
            <w:vAlign w:val="top"/>
          </w:tcPr>
          <w:p>
            <w:pPr>
              <w:pStyle w:val="TableText"/>
              <w:spacing w:line="188" w:lineRule="exact"/>
              <w:rPr/>
            </w:pPr>
            <w:r/>
          </w:p>
        </w:tc>
        <w:tc>
          <w:tcPr>
            <w:tcW w:w="1761" w:type="dxa"/>
            <w:vAlign w:val="top"/>
          </w:tcPr>
          <w:p>
            <w:pPr>
              <w:pStyle w:val="TableText"/>
              <w:spacing w:line="188" w:lineRule="exact"/>
              <w:rPr/>
            </w:pPr>
            <w:r/>
          </w:p>
        </w:tc>
      </w:tr>
    </w:tbl>
    <w:p>
      <w:pPr>
        <w:pStyle w:val="BodyText"/>
        <w:ind w:left="35"/>
        <w:spacing w:before="33" w:line="120" w:lineRule="exact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注</w:t>
      </w:r>
      <w:r>
        <w:rPr>
          <w:rFonts w:ascii="Microsoft YaHei" w:hAnsi="Microsoft YaHei" w:eastAsia="Microsoft YaHei" w:cs="Microsoft YaHei"/>
          <w:sz w:val="12"/>
          <w:szCs w:val="12"/>
          <w:spacing w:val="-14"/>
          <w:position w:val="-1"/>
        </w:rPr>
        <w:t xml:space="preserve"> </w:t>
      </w:r>
      <w:r>
        <w:rPr>
          <w:sz w:val="12"/>
          <w:szCs w:val="12"/>
          <w:spacing w:val="7"/>
          <w:position w:val="-1"/>
        </w:rPr>
        <w:t>:</w:t>
      </w:r>
      <w:r>
        <w:rPr>
          <w:sz w:val="12"/>
          <w:szCs w:val="12"/>
          <w:spacing w:val="15"/>
          <w:w w:val="10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本表反映部门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(或单位)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本年度国有资本经营预算财政拨款支出情况</w:t>
      </w:r>
      <w:r>
        <w:rPr>
          <w:rFonts w:ascii="Microsoft YaHei" w:hAnsi="Microsoft YaHei" w:eastAsia="Microsoft YaHei" w:cs="Microsoft YaHei"/>
          <w:sz w:val="12"/>
          <w:szCs w:val="12"/>
          <w:spacing w:val="-1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。本部门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(或单位)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spacing w:val="7"/>
          <w:position w:val="-1"/>
        </w:rPr>
        <w:t>本年度无相关支出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情况</w:t>
      </w:r>
      <w:r>
        <w:rPr>
          <w:rFonts w:ascii="Microsoft YaHei" w:hAnsi="Microsoft YaHei" w:eastAsia="Microsoft YaHei" w:cs="Microsoft YaHei"/>
          <w:sz w:val="12"/>
          <w:szCs w:val="12"/>
          <w:spacing w:val="-18"/>
          <w:position w:val="-1"/>
        </w:rPr>
        <w:t xml:space="preserve"> </w:t>
      </w:r>
      <w:r>
        <w:rPr>
          <w:sz w:val="12"/>
          <w:szCs w:val="12"/>
          <w:spacing w:val="6"/>
          <w:position w:val="-1"/>
        </w:rPr>
        <w:t>,</w:t>
      </w:r>
      <w:r>
        <w:rPr>
          <w:sz w:val="12"/>
          <w:szCs w:val="12"/>
          <w:spacing w:val="6"/>
          <w:position w:val="-1"/>
        </w:rPr>
        <w:t xml:space="preserve">   </w:t>
      </w:r>
      <w:r>
        <w:rPr>
          <w:rFonts w:ascii="Microsoft YaHei" w:hAnsi="Microsoft YaHei" w:eastAsia="Microsoft YaHei" w:cs="Microsoft YaHei"/>
          <w:sz w:val="12"/>
          <w:szCs w:val="12"/>
          <w:spacing w:val="6"/>
          <w:position w:val="-1"/>
        </w:rPr>
        <w:t>按要求以空表列示。</w:t>
      </w:r>
    </w:p>
    <w:p>
      <w:pPr>
        <w:spacing w:line="120" w:lineRule="exact"/>
        <w:sectPr>
          <w:type w:val="continuous"/>
          <w:pgSz w:w="11900" w:h="16840"/>
          <w:pgMar w:top="400" w:right="728" w:bottom="0" w:left="741" w:header="0" w:footer="0" w:gutter="0"/>
          <w:cols w:equalWidth="0" w:num="1">
            <w:col w:w="10431" w:space="0"/>
          </w:cols>
        </w:sectPr>
        <w:rPr>
          <w:rFonts w:ascii="Microsoft YaHei" w:hAnsi="Microsoft YaHei" w:eastAsia="Microsoft YaHei" w:cs="Microsoft YaHei"/>
          <w:sz w:val="12"/>
          <w:szCs w:val="12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line="6891" w:lineRule="exact"/>
        <w:rPr/>
      </w:pPr>
      <w:r>
        <w:rPr>
          <w:position w:val="-137"/>
        </w:rPr>
        <w:drawing>
          <wp:inline distT="0" distB="0" distL="0" distR="0">
            <wp:extent cx="6623304" cy="437540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3304" cy="437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91" w:lineRule="exact"/>
        <w:sectPr>
          <w:pgSz w:w="11900" w:h="16840"/>
          <w:pgMar w:top="400" w:right="727" w:bottom="0" w:left="741" w:header="0" w:footer="0" w:gutter="0"/>
        </w:sectPr>
        <w:rPr/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firstLine="449"/>
        <w:spacing w:line="516" w:lineRule="exact"/>
        <w:rPr/>
      </w:pPr>
      <w:r>
        <w:rPr>
          <w:position w:val="-10"/>
        </w:rPr>
        <w:drawing>
          <wp:inline distT="0" distB="0" distL="0" distR="0">
            <wp:extent cx="4703063" cy="32765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3063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6" w:lineRule="exact"/>
        <w:sectPr>
          <w:pgSz w:w="11900" w:h="16840"/>
          <w:pgMar w:top="400" w:right="1785" w:bottom="0" w:left="1785" w:header="0" w:footer="0" w:gutter="0"/>
        </w:sectPr>
        <w:rPr/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63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一、收入支出决算总体情况说明</w:t>
      </w:r>
    </w:p>
    <w:p>
      <w:pPr>
        <w:ind w:firstLine="640"/>
        <w:spacing w:before="197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年度收、支总计（含结转和结余）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2823.50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元。与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2021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年度决算相比，收支各增加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411.30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17.05%</w:t>
      </w:r>
      <w:r>
        <w:rPr>
          <w:rFonts w:ascii="FangSong" w:hAnsi="FangSong" w:eastAsia="FangSong" w:cs="FangSong"/>
          <w:sz w:val="31"/>
          <w:szCs w:val="31"/>
          <w:spacing w:val="-1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主要原因是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2022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年在校学生人数增加及薪级工资调增而增加财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政拨款收入。</w:t>
      </w:r>
    </w:p>
    <w:p>
      <w:pPr>
        <w:pStyle w:val="BodyText"/>
        <w:spacing w:line="384" w:lineRule="auto"/>
        <w:rPr/>
      </w:pPr>
      <w:r/>
    </w:p>
    <w:p>
      <w:pPr>
        <w:ind w:firstLine="618"/>
        <w:spacing w:line="4839" w:lineRule="exact"/>
        <w:rPr/>
      </w:pPr>
      <w:r>
        <w:rPr>
          <w:position w:val="-96"/>
        </w:rPr>
        <w:drawing>
          <wp:inline distT="0" distB="0" distL="0" distR="0">
            <wp:extent cx="4520183" cy="307238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20183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6"/>
        <w:spacing w:before="7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二、收入决算情况说明</w:t>
      </w:r>
    </w:p>
    <w:p>
      <w:pPr>
        <w:ind w:left="190" w:right="8" w:firstLine="649"/>
        <w:spacing w:before="13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1"/>
        </w:rPr>
        <w:t>年度收入合计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2243.83</w:t>
      </w:r>
      <w:r>
        <w:rPr>
          <w:rFonts w:ascii="FangSong" w:hAnsi="FangSong" w:eastAsia="FangSong" w:cs="FangSong"/>
          <w:sz w:val="31"/>
          <w:szCs w:val="31"/>
          <w:spacing w:val="1"/>
        </w:rPr>
        <w:t>万元，其中：财政拨款收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入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2056.34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91.64%</w:t>
      </w:r>
      <w:r>
        <w:rPr>
          <w:rFonts w:ascii="FangSong" w:hAnsi="FangSong" w:eastAsia="FangSong" w:cs="FangSong"/>
          <w:sz w:val="31"/>
          <w:szCs w:val="31"/>
          <w:spacing w:val="-1"/>
        </w:rPr>
        <w:t>；事业收入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147.75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6.59%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经营收入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0.00%</w:t>
      </w:r>
      <w:r>
        <w:rPr>
          <w:rFonts w:ascii="FangSong" w:hAnsi="FangSong" w:eastAsia="FangSong" w:cs="FangSong"/>
          <w:sz w:val="31"/>
          <w:szCs w:val="31"/>
          <w:spacing w:val="-2"/>
        </w:rPr>
        <w:t>；其他收入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39.74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1.77%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经营收入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spacing w:val="2"/>
        </w:rPr>
        <w:t>万元，占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0.00%</w:t>
      </w:r>
      <w:r>
        <w:rPr>
          <w:rFonts w:ascii="FangSong" w:hAnsi="FangSong" w:eastAsia="FangSong" w:cs="FangSong"/>
          <w:sz w:val="31"/>
          <w:szCs w:val="31"/>
          <w:spacing w:val="2"/>
        </w:rPr>
        <w:t>；附属单位上缴收入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00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0.00%</w:t>
      </w:r>
      <w:r>
        <w:rPr>
          <w:rFonts w:ascii="FangSong" w:hAnsi="FangSong" w:eastAsia="FangSong" w:cs="FangSong"/>
          <w:sz w:val="31"/>
          <w:szCs w:val="31"/>
        </w:rPr>
        <w:t>；其他收入</w:t>
      </w:r>
      <w:r>
        <w:rPr>
          <w:rFonts w:ascii="FangSong" w:hAnsi="FangSong" w:eastAsia="FangSong" w:cs="FangSong"/>
          <w:sz w:val="31"/>
          <w:szCs w:val="31"/>
          <w:b/>
          <w:bCs/>
        </w:rPr>
        <w:t>0.00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b/>
          <w:bCs/>
        </w:rPr>
        <w:t>0.00%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line="372" w:lineRule="auto"/>
        <w:sectPr>
          <w:pgSz w:w="11900" w:h="16840"/>
          <w:pgMar w:top="400" w:right="1434" w:bottom="0" w:left="1553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firstLine="427"/>
        <w:spacing w:line="4759" w:lineRule="exact"/>
        <w:rPr/>
      </w:pPr>
      <w:r>
        <w:rPr>
          <w:position w:val="-95"/>
        </w:rPr>
        <w:drawing>
          <wp:inline distT="0" distB="0" distL="0" distR="0">
            <wp:extent cx="4447032" cy="3022091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47032" cy="302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72" w:lineRule="auto"/>
        <w:rPr/>
      </w:pPr>
      <w:r/>
    </w:p>
    <w:p>
      <w:pPr>
        <w:ind w:left="44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三、支出决算情况说明</w:t>
      </w:r>
    </w:p>
    <w:p>
      <w:pPr>
        <w:ind w:firstLine="649"/>
        <w:spacing w:before="14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6"/>
        </w:rPr>
        <w:t>年度支出合计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2823.50</w:t>
      </w:r>
      <w:r>
        <w:rPr>
          <w:rFonts w:ascii="FangSong" w:hAnsi="FangSong" w:eastAsia="FangSong" w:cs="FangSong"/>
          <w:sz w:val="31"/>
          <w:szCs w:val="31"/>
          <w:spacing w:val="6"/>
        </w:rPr>
        <w:t>万元，其中：基本支出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2247.69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79.61%</w:t>
      </w:r>
      <w:r>
        <w:rPr>
          <w:rFonts w:ascii="FangSong" w:hAnsi="FangSong" w:eastAsia="FangSong" w:cs="FangSong"/>
          <w:sz w:val="31"/>
          <w:szCs w:val="31"/>
          <w:spacing w:val="1"/>
        </w:rPr>
        <w:t>；项目支出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b/>
          <w:bCs/>
        </w:rPr>
        <w:t>75.81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FangSong" w:hAnsi="FangSong" w:eastAsia="FangSong" w:cs="FangSong"/>
          <w:sz w:val="31"/>
          <w:szCs w:val="31"/>
          <w:b/>
          <w:bCs/>
        </w:rPr>
        <w:t>20.39%</w:t>
      </w:r>
      <w:r>
        <w:rPr>
          <w:rFonts w:ascii="FangSong" w:hAnsi="FangSong" w:eastAsia="FangSong" w:cs="FangSong"/>
          <w:sz w:val="31"/>
          <w:szCs w:val="31"/>
        </w:rPr>
        <w:t>；经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营支出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spacing w:val="2"/>
        </w:rPr>
        <w:t>万元，占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0.00%</w:t>
      </w:r>
      <w:r>
        <w:rPr>
          <w:rFonts w:ascii="FangSong" w:hAnsi="FangSong" w:eastAsia="FangSong" w:cs="FangSong"/>
          <w:sz w:val="31"/>
          <w:szCs w:val="31"/>
          <w:spacing w:val="2"/>
        </w:rPr>
        <w:t>；对附属单位补助支出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00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0.00%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firstLine="427"/>
        <w:spacing w:line="4310" w:lineRule="exact"/>
        <w:rPr/>
      </w:pPr>
      <w:r>
        <w:rPr>
          <w:position w:val="-86"/>
        </w:rPr>
        <w:drawing>
          <wp:inline distT="0" distB="0" distL="0" distR="0">
            <wp:extent cx="4027932" cy="273710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27932" cy="273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10" w:lineRule="exact"/>
        <w:sectPr>
          <w:pgSz w:w="11900" w:h="16840"/>
          <w:pgMar w:top="400" w:right="1524" w:bottom="0" w:left="1744" w:header="0" w:footer="0" w:gutter="0"/>
        </w:sectPr>
        <w:rPr/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65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四、财政拨款收入支出决算总体情况说明</w:t>
      </w:r>
    </w:p>
    <w:p>
      <w:pPr>
        <w:ind w:left="663"/>
        <w:spacing w:before="282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2"/>
        </w:rPr>
        <w:t>（一）财政拨款收支与2021年度决算对比情况</w:t>
      </w:r>
    </w:p>
    <w:p>
      <w:pPr>
        <w:ind w:right="4" w:firstLine="648"/>
        <w:spacing w:before="194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本单位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2022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年度财政拨款本年收入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2056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.34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,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比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2021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年度增加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75.27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3.80%</w:t>
      </w:r>
      <w:r>
        <w:rPr>
          <w:rFonts w:ascii="FangSong" w:hAnsi="FangSong" w:eastAsia="FangSong" w:cs="FangSong"/>
          <w:sz w:val="31"/>
          <w:szCs w:val="31"/>
          <w:spacing w:val="5"/>
        </w:rPr>
        <w:t>，主要是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年度在校学生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人数增加及薪级工资调增而增加财政拨款收入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；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本年支出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2585.00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万元，增加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1084.95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72.33%</w:t>
      </w:r>
      <w:r>
        <w:rPr>
          <w:rFonts w:ascii="FangSong" w:hAnsi="FangSong" w:eastAsia="FangSong" w:cs="FangSong"/>
          <w:sz w:val="31"/>
          <w:szCs w:val="31"/>
          <w:spacing w:val="-1"/>
        </w:rPr>
        <w:t>，主要是薪级工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资调整及部分职工调级增加人员支出</w:t>
      </w: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,</w:t>
      </w:r>
      <w:r>
        <w:rPr>
          <w:rFonts w:ascii="FangSong" w:hAnsi="FangSong" w:eastAsia="FangSong" w:cs="FangSong"/>
          <w:sz w:val="31"/>
          <w:szCs w:val="31"/>
          <w:spacing w:val="16"/>
        </w:rPr>
        <w:t>学校房屋</w:t>
      </w: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,</w:t>
      </w:r>
      <w:r>
        <w:rPr>
          <w:rFonts w:ascii="FangSong" w:hAnsi="FangSong" w:eastAsia="FangSong" w:cs="FangSong"/>
          <w:sz w:val="31"/>
          <w:szCs w:val="31"/>
          <w:spacing w:val="16"/>
        </w:rPr>
        <w:t>设备年久失修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需要维护增加公用支出。具体情况如下：</w:t>
      </w:r>
    </w:p>
    <w:p>
      <w:pPr>
        <w:ind w:left="5" w:firstLine="655"/>
        <w:spacing w:before="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1.</w:t>
      </w:r>
      <w:r>
        <w:rPr>
          <w:rFonts w:ascii="FangSong" w:hAnsi="FangSong" w:eastAsia="FangSong" w:cs="FangSong"/>
          <w:sz w:val="31"/>
          <w:szCs w:val="31"/>
          <w:spacing w:val="4"/>
        </w:rPr>
        <w:t>一般公共预算财政拨款本年收入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2056.34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万元，比上年增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75.27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万元；主要是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年度在校学生人数增加及薪级工资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调增而增加财政拨款收入；本年支出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2585.00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万元，比上年增加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1084.95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72.33%</w:t>
      </w:r>
      <w:r>
        <w:rPr>
          <w:rFonts w:ascii="FangSong" w:hAnsi="FangSong" w:eastAsia="FangSong" w:cs="FangSong"/>
          <w:sz w:val="31"/>
          <w:szCs w:val="31"/>
          <w:spacing w:val="3"/>
        </w:rPr>
        <w:t>，主要是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年度薪级工资调增而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增加财政拨款支出。</w:t>
      </w:r>
    </w:p>
    <w:p>
      <w:pPr>
        <w:ind w:left="6" w:right="4" w:firstLine="634"/>
        <w:spacing w:before="197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2.</w:t>
      </w:r>
      <w:r>
        <w:rPr>
          <w:rFonts w:ascii="FangSong" w:hAnsi="FangSong" w:eastAsia="FangSong" w:cs="FangSong"/>
          <w:sz w:val="31"/>
          <w:szCs w:val="31"/>
          <w:spacing w:val="11"/>
        </w:rPr>
        <w:t>政府性基金预算财政拨款本年收入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0.00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万元，与上年持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平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;</w:t>
      </w:r>
      <w:r>
        <w:rPr>
          <w:rFonts w:ascii="FangSong" w:hAnsi="FangSong" w:eastAsia="FangSong" w:cs="FangSong"/>
          <w:sz w:val="31"/>
          <w:szCs w:val="31"/>
          <w:spacing w:val="9"/>
        </w:rPr>
        <w:t>本年支出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万元，与上年持平。</w:t>
      </w:r>
    </w:p>
    <w:p>
      <w:pPr>
        <w:ind w:left="8" w:right="7" w:firstLine="634"/>
        <w:spacing w:before="197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3.</w:t>
      </w:r>
      <w:r>
        <w:rPr>
          <w:rFonts w:ascii="FangSong" w:hAnsi="FangSong" w:eastAsia="FangSong" w:cs="FangSong"/>
          <w:sz w:val="31"/>
          <w:szCs w:val="31"/>
          <w:spacing w:val="11"/>
        </w:rPr>
        <w:t>国有资本经营预算财政拨款本年收入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0.00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10"/>
        </w:rPr>
        <w:t>上年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持平；本年支出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0.00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万元，与上年持平。</w:t>
      </w:r>
    </w:p>
    <w:p>
      <w:pPr>
        <w:spacing w:line="287" w:lineRule="auto"/>
        <w:sectPr>
          <w:pgSz w:w="11900" w:h="16840"/>
          <w:pgMar w:top="400" w:right="1519" w:bottom="0" w:left="154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firstLine="620"/>
        <w:spacing w:line="5153" w:lineRule="exact"/>
        <w:rPr/>
      </w:pPr>
      <w:r>
        <w:rPr>
          <w:position w:val="-103"/>
        </w:rPr>
        <w:drawing>
          <wp:inline distT="0" distB="0" distL="0" distR="0">
            <wp:extent cx="4814315" cy="3272028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4315" cy="327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58"/>
        <w:spacing w:before="57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（二）财政拨款收支与年初预算数对比情况</w:t>
      </w:r>
    </w:p>
    <w:p>
      <w:pPr>
        <w:ind w:right="87" w:firstLine="643"/>
        <w:spacing w:before="17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本单位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2022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年度财政拨款本年收入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2056.34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初预算的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97.79%,</w:t>
      </w:r>
      <w:r>
        <w:rPr>
          <w:rFonts w:ascii="FangSong" w:hAnsi="FangSong" w:eastAsia="FangSong" w:cs="FangSong"/>
          <w:sz w:val="31"/>
          <w:szCs w:val="31"/>
          <w:spacing w:val="9"/>
        </w:rPr>
        <w:t>比年初预算减少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46.42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万元，决算数小于预算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数主要原因是公路水运实验监测考试未举办；本年支出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585.00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122.93%,</w:t>
      </w:r>
      <w:r>
        <w:rPr>
          <w:rFonts w:ascii="FangSong" w:hAnsi="FangSong" w:eastAsia="FangSong" w:cs="FangSong"/>
          <w:sz w:val="31"/>
          <w:szCs w:val="31"/>
          <w:spacing w:val="3"/>
        </w:rPr>
        <w:t>比年初预算增加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48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2.24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决算数大于预算数主要原因是发放上一年度补充绩效。具体情况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如下：</w:t>
      </w:r>
    </w:p>
    <w:p>
      <w:pPr>
        <w:ind w:left="9" w:firstLine="645"/>
        <w:spacing w:before="5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1.</w:t>
      </w:r>
      <w:r>
        <w:rPr>
          <w:rFonts w:ascii="FangSong" w:hAnsi="FangSong" w:eastAsia="FangSong" w:cs="FangSong"/>
          <w:sz w:val="31"/>
          <w:szCs w:val="31"/>
          <w:spacing w:val="11"/>
        </w:rPr>
        <w:t>一般公共预算财政拨款本年收入完成年初预算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97.79%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比年初预算减少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46.42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万元，主要是公路</w:t>
      </w:r>
      <w:r>
        <w:rPr>
          <w:rFonts w:ascii="FangSong" w:hAnsi="FangSong" w:eastAsia="FangSong" w:cs="FangSong"/>
          <w:sz w:val="31"/>
          <w:szCs w:val="31"/>
          <w:spacing w:val="5"/>
        </w:rPr>
        <w:t>水运实验监测考试未举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办；支出完成年初预算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122.93%</w:t>
      </w:r>
      <w:r>
        <w:rPr>
          <w:rFonts w:ascii="FangSong" w:hAnsi="FangSong" w:eastAsia="FangSong" w:cs="FangSong"/>
          <w:sz w:val="31"/>
          <w:szCs w:val="31"/>
          <w:spacing w:val="3"/>
        </w:rPr>
        <w:t>，比年初预算增加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482.24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主要是发放上一年度补充绩效。</w:t>
      </w:r>
    </w:p>
    <w:p>
      <w:pPr>
        <w:ind w:left="13" w:right="122" w:firstLine="622"/>
        <w:spacing w:before="195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>政府性基金预算财政拨款本年收入完成年初</w:t>
      </w:r>
      <w:r>
        <w:rPr>
          <w:rFonts w:ascii="FangSong" w:hAnsi="FangSong" w:eastAsia="FangSong" w:cs="FangSong"/>
          <w:sz w:val="31"/>
          <w:szCs w:val="31"/>
          <w:spacing w:val="7"/>
        </w:rPr>
        <w:t>预算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0.00%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与年初预算持平；支出完成年初预算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0.00%</w:t>
      </w:r>
      <w:r>
        <w:rPr>
          <w:rFonts w:ascii="FangSong" w:hAnsi="FangSong" w:eastAsia="FangSong" w:cs="FangSong"/>
          <w:sz w:val="31"/>
          <w:szCs w:val="31"/>
          <w:spacing w:val="10"/>
        </w:rPr>
        <w:t>，与年初预算持平</w:t>
      </w:r>
    </w:p>
    <w:p>
      <w:pPr>
        <w:spacing w:line="287" w:lineRule="auto"/>
        <w:sectPr>
          <w:pgSz w:w="11900" w:h="16840"/>
          <w:pgMar w:top="400" w:right="1437" w:bottom="0" w:left="155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9" w:right="310" w:firstLine="624"/>
        <w:spacing w:before="101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3.</w:t>
      </w:r>
      <w:r>
        <w:rPr>
          <w:rFonts w:ascii="FangSong" w:hAnsi="FangSong" w:eastAsia="FangSong" w:cs="FangSong"/>
          <w:sz w:val="31"/>
          <w:szCs w:val="31"/>
          <w:spacing w:val="6"/>
        </w:rPr>
        <w:t>国有资本经营预算财政拨款本年收入完成年初预算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0.00%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与年初预算持平；支出完成年初预算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0.00%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与年初预算持平。</w:t>
      </w:r>
    </w:p>
    <w:p>
      <w:pPr>
        <w:ind w:firstLine="545"/>
        <w:spacing w:line="6009" w:lineRule="exact"/>
        <w:rPr/>
      </w:pPr>
      <w:r>
        <w:rPr>
          <w:position w:val="-120"/>
        </w:rPr>
        <w:drawing>
          <wp:inline distT="0" distB="0" distL="0" distR="0">
            <wp:extent cx="5615940" cy="381609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38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4"/>
        <w:spacing w:before="314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（三）财政拨款支出决算结构情况</w:t>
      </w:r>
    </w:p>
    <w:p>
      <w:pPr>
        <w:ind w:right="426" w:firstLine="642"/>
        <w:spacing w:before="184" w:line="34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2022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年度财政拨款支出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2585.00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万元，一般公共服务（类）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支出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0.00%</w:t>
      </w:r>
      <w:r>
        <w:rPr>
          <w:rFonts w:ascii="FangSong" w:hAnsi="FangSong" w:eastAsia="FangSong" w:cs="FangSong"/>
          <w:sz w:val="31"/>
          <w:szCs w:val="31"/>
          <w:spacing w:val="-2"/>
        </w:rPr>
        <w:t>；公共安全类（类）支出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0.00%</w:t>
      </w:r>
      <w:r>
        <w:rPr>
          <w:rFonts w:ascii="FangSong" w:hAnsi="FangSong" w:eastAsia="FangSong" w:cs="FangSong"/>
          <w:sz w:val="31"/>
          <w:szCs w:val="31"/>
        </w:rPr>
        <w:t>；教育（类）支出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2585.00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100%</w:t>
      </w:r>
      <w:r>
        <w:rPr>
          <w:rFonts w:ascii="FangSong" w:hAnsi="FangSong" w:eastAsia="FangSong" w:cs="FangSong"/>
          <w:sz w:val="31"/>
          <w:szCs w:val="31"/>
          <w:spacing w:val="-1"/>
        </w:rPr>
        <w:t>，主要用于工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资福利、商品服务、个人及家庭补助、其他资本性等支出；科学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技术（类）支出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0.00%</w:t>
      </w:r>
      <w:r>
        <w:rPr>
          <w:rFonts w:ascii="FangSong" w:hAnsi="FangSong" w:eastAsia="FangSong" w:cs="FangSong"/>
          <w:sz w:val="31"/>
          <w:szCs w:val="31"/>
          <w:spacing w:val="3"/>
        </w:rPr>
        <w:t>；社会保障和就业（类）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0.00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0.00%</w:t>
      </w:r>
      <w:r>
        <w:rPr>
          <w:rFonts w:ascii="FangSong" w:hAnsi="FangSong" w:eastAsia="FangSong" w:cs="FangSong"/>
          <w:sz w:val="31"/>
          <w:szCs w:val="31"/>
          <w:spacing w:val="-4"/>
        </w:rPr>
        <w:t>；住房保障（类）支出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0.00%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spacing w:line="348" w:lineRule="auto"/>
        <w:sectPr>
          <w:pgSz w:w="11900" w:h="16840"/>
          <w:pgMar w:top="400" w:right="965" w:bottom="0" w:left="154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firstLine="404"/>
        <w:spacing w:line="5083" w:lineRule="exact"/>
        <w:rPr/>
      </w:pPr>
      <w:r>
        <w:rPr>
          <w:position w:val="-101"/>
        </w:rPr>
        <w:drawing>
          <wp:inline distT="0" distB="0" distL="0" distR="0">
            <wp:extent cx="4750308" cy="3227832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0308" cy="322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76" w:lineRule="auto"/>
        <w:rPr/>
      </w:pPr>
      <w:r/>
    </w:p>
    <w:p>
      <w:pPr>
        <w:ind w:left="443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（四）一般公共预算基本支出决算情况说明</w:t>
      </w:r>
    </w:p>
    <w:p>
      <w:pPr>
        <w:ind w:left="640"/>
        <w:spacing w:before="17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2022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年度财政拨款基本支出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2009.19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万元，其中：</w:t>
      </w:r>
    </w:p>
    <w:p>
      <w:pPr>
        <w:ind w:right="137" w:firstLine="651"/>
        <w:spacing w:before="2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人员经费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2009.19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万元，主要包括基本工资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420.19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津贴补贴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313.27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万元、绩效工资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210.38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万元、机关事业单位基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本养老保险缴费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119.76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万元、职业年金缴费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71.88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万元、职工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基本医疗保险缴费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70.03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万元、住房公积金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72.51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万元、其他社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会保障缴费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6.03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万元、其他工资福利支出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323.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万元、退休费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199.58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万元、奖励金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0.04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万元、其他对个人和家庭</w:t>
      </w:r>
      <w:r>
        <w:rPr>
          <w:rFonts w:ascii="FangSong" w:hAnsi="FangSong" w:eastAsia="FangSong" w:cs="FangSong"/>
          <w:sz w:val="31"/>
          <w:szCs w:val="31"/>
          <w:spacing w:val="6"/>
        </w:rPr>
        <w:t>的补助支出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202.32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万元。</w:t>
      </w:r>
    </w:p>
    <w:p>
      <w:pPr>
        <w:ind w:left="5" w:firstLine="648"/>
        <w:spacing w:before="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万元，主要包括办公费、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印刷费、咨询</w:t>
      </w:r>
      <w:r>
        <w:rPr>
          <w:rFonts w:ascii="FangSong" w:hAnsi="FangSong" w:eastAsia="FangSong" w:cs="FangSong"/>
          <w:sz w:val="31"/>
          <w:szCs w:val="31"/>
          <w:spacing w:val="1"/>
        </w:rPr>
        <w:t>费、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水费、电费、邮电费、取暖费、物业管理费、差旅费、维修（护）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费、专用材料费、劳务费、工会经费、公务用车运</w:t>
      </w:r>
      <w:r>
        <w:rPr>
          <w:rFonts w:ascii="FangSong" w:hAnsi="FangSong" w:eastAsia="FangSong" w:cs="FangSong"/>
          <w:sz w:val="31"/>
          <w:szCs w:val="31"/>
          <w:spacing w:val="-3"/>
        </w:rPr>
        <w:t>行维护费万元、</w:t>
      </w:r>
    </w:p>
    <w:p>
      <w:pPr>
        <w:spacing w:line="344" w:lineRule="auto"/>
        <w:sectPr>
          <w:pgSz w:w="11900" w:h="16840"/>
          <w:pgMar w:top="400" w:right="1387" w:bottom="0" w:left="154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税金及附加费用、助学金、办公设备购置、</w:t>
      </w:r>
      <w:r>
        <w:rPr>
          <w:rFonts w:ascii="FangSong" w:hAnsi="FangSong" w:eastAsia="FangSong" w:cs="FangSong"/>
          <w:sz w:val="31"/>
          <w:szCs w:val="31"/>
          <w:spacing w:val="8"/>
        </w:rPr>
        <w:t>专用设备购置。</w:t>
      </w:r>
    </w:p>
    <w:p>
      <w:pPr>
        <w:ind w:left="640"/>
        <w:spacing w:before="19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五、财政拨款“三公”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经费支出决算情况说明</w:t>
      </w:r>
    </w:p>
    <w:p>
      <w:pPr>
        <w:ind w:left="657"/>
        <w:spacing w:before="200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3"/>
        </w:rPr>
        <w:t>（一）“三公</w:t>
      </w:r>
      <w:r>
        <w:rPr>
          <w:rFonts w:ascii="KaiTi" w:hAnsi="KaiTi" w:eastAsia="KaiTi" w:cs="KaiTi"/>
          <w:sz w:val="31"/>
          <w:szCs w:val="31"/>
          <w:spacing w:val="-9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3"/>
        </w:rPr>
        <w:t>”经费财政拨款支出决算总体情况说明</w:t>
      </w:r>
    </w:p>
    <w:p>
      <w:pPr>
        <w:ind w:left="2" w:right="4" w:firstLine="639"/>
        <w:spacing w:before="19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年度“三公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”经费财政拨款支出预算为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0.67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元，支出决算为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0.53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79.10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%,</w:t>
      </w:r>
      <w:r>
        <w:rPr>
          <w:rFonts w:ascii="FangSong" w:hAnsi="FangSong" w:eastAsia="FangSong" w:cs="FangSong"/>
          <w:sz w:val="31"/>
          <w:szCs w:val="31"/>
          <w:spacing w:val="-5"/>
        </w:rPr>
        <w:t>较预算减少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0.14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20.90%</w:t>
      </w:r>
      <w:r>
        <w:rPr>
          <w:rFonts w:ascii="FangSong" w:hAnsi="FangSong" w:eastAsia="FangSong" w:cs="FangSong"/>
          <w:sz w:val="31"/>
          <w:szCs w:val="31"/>
          <w:spacing w:val="-3"/>
        </w:rPr>
        <w:t>，主要是由于疫情公车出行少未大修；较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2021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年度决算减少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1.79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77.16%</w:t>
      </w:r>
      <w:r>
        <w:rPr>
          <w:rFonts w:ascii="FangSong" w:hAnsi="FangSong" w:eastAsia="FangSong" w:cs="FangSong"/>
          <w:sz w:val="31"/>
          <w:szCs w:val="31"/>
          <w:spacing w:val="3"/>
        </w:rPr>
        <w:t>，主要是由于疫情公车出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行少未大修。</w:t>
      </w:r>
    </w:p>
    <w:p>
      <w:pPr>
        <w:ind w:left="657"/>
        <w:spacing w:before="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3"/>
        </w:rPr>
        <w:t>（二）“三公</w:t>
      </w:r>
      <w:r>
        <w:rPr>
          <w:rFonts w:ascii="KaiTi" w:hAnsi="KaiTi" w:eastAsia="KaiTi" w:cs="KaiTi"/>
          <w:sz w:val="31"/>
          <w:szCs w:val="31"/>
          <w:spacing w:val="-9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3"/>
        </w:rPr>
        <w:t>”经费财政拨款支出决算具体情况说明</w:t>
      </w:r>
    </w:p>
    <w:p>
      <w:pPr>
        <w:ind w:left="2" w:firstLine="645"/>
        <w:spacing w:before="198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1.因公出国（境）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6"/>
        </w:rPr>
        <w:t>费支出情况。</w:t>
      </w:r>
      <w:r>
        <w:rPr>
          <w:rFonts w:ascii="FangSong" w:hAnsi="FangSong" w:eastAsia="FangSong" w:cs="FangSong"/>
          <w:sz w:val="31"/>
          <w:szCs w:val="31"/>
          <w:spacing w:val="6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年度因公出国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（境）费支出预算为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</w:t>
      </w:r>
      <w:r>
        <w:rPr>
          <w:rFonts w:ascii="FangSong" w:hAnsi="FangSong" w:eastAsia="FangSong" w:cs="FangSong"/>
          <w:sz w:val="31"/>
          <w:szCs w:val="31"/>
          <w:spacing w:val="3"/>
        </w:rPr>
        <w:t>，完成预算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0.00%</w:t>
      </w:r>
      <w:r>
        <w:rPr>
          <w:rFonts w:ascii="FangSong" w:hAnsi="FangSong" w:eastAsia="FangSong" w:cs="FangSong"/>
          <w:sz w:val="31"/>
          <w:szCs w:val="31"/>
        </w:rPr>
        <w:t>。因公出国（境）费支出较预算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2021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相比持平。</w:t>
      </w:r>
      <w:r>
        <w:rPr>
          <w:rFonts w:ascii="KaiTi" w:hAnsi="KaiTi" w:eastAsia="KaiTi" w:cs="KaiTi"/>
          <w:sz w:val="31"/>
          <w:szCs w:val="31"/>
          <w:spacing w:val="8"/>
        </w:rPr>
        <w:t>因公出国（境）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费的经费支出，</w:t>
      </w:r>
      <w:r>
        <w:rPr>
          <w:rFonts w:ascii="FangSong" w:hAnsi="FangSong" w:eastAsia="FangSong" w:cs="FangSong"/>
          <w:sz w:val="31"/>
          <w:szCs w:val="31"/>
          <w:spacing w:val="8"/>
        </w:rPr>
        <w:t>较上年增加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元，主要是本单位未发生</w:t>
      </w:r>
      <w:r>
        <w:rPr>
          <w:rFonts w:ascii="KaiTi" w:hAnsi="KaiTi" w:eastAsia="KaiTi" w:cs="KaiTi"/>
          <w:sz w:val="31"/>
          <w:szCs w:val="31"/>
          <w:spacing w:val="5"/>
        </w:rPr>
        <w:t>因公出国（境）费的经费支出。</w:t>
      </w:r>
      <w:r>
        <w:rPr>
          <w:rFonts w:ascii="FangSong" w:hAnsi="FangSong" w:eastAsia="FangSong" w:cs="FangSong"/>
          <w:sz w:val="31"/>
          <w:szCs w:val="31"/>
          <w:spacing w:val="5"/>
        </w:rPr>
        <w:t>其中因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公出国（境）团组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个、共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人、参加其他单位组织的因公出国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（境）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团组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个、共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</w:rPr>
        <w:t>无本单位组织的出国（境）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团组。</w:t>
      </w:r>
    </w:p>
    <w:p>
      <w:pPr>
        <w:ind w:right="2" w:firstLine="629"/>
        <w:spacing w:before="202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9"/>
        </w:rPr>
        <w:t>2.公务用车购置及运行维护费支出情况。</w:t>
      </w:r>
      <w:r>
        <w:rPr>
          <w:rFonts w:ascii="FangSong" w:hAnsi="FangSong" w:eastAsia="FangSong" w:cs="FangSong"/>
          <w:sz w:val="31"/>
          <w:szCs w:val="31"/>
          <w:spacing w:val="9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2022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公务用车购置及运行维护费预算为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0.67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万元，支出决算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0.53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元，完成预算的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79.10%</w:t>
      </w:r>
      <w:r>
        <w:rPr>
          <w:rFonts w:ascii="FangSong" w:hAnsi="FangSong" w:eastAsia="FangSong" w:cs="FangSong"/>
          <w:sz w:val="31"/>
          <w:szCs w:val="31"/>
          <w:spacing w:val="4"/>
        </w:rPr>
        <w:t>。较预算减少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0.14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20.89%,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主要是由于疫情公车出行少未大修；较上年减少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1.79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77.16%,</w:t>
      </w:r>
      <w:r>
        <w:rPr>
          <w:rFonts w:ascii="FangSong" w:hAnsi="FangSong" w:eastAsia="FangSong" w:cs="FangSong"/>
          <w:sz w:val="31"/>
          <w:szCs w:val="31"/>
          <w:spacing w:val="6"/>
        </w:rPr>
        <w:t>主要是由于疫情公车出行少未大修</w:t>
      </w:r>
      <w:r>
        <w:rPr>
          <w:rFonts w:ascii="FangSong" w:hAnsi="FangSong" w:eastAsia="FangSong" w:cs="FangSong"/>
          <w:sz w:val="31"/>
          <w:szCs w:val="31"/>
          <w:spacing w:val="5"/>
        </w:rPr>
        <w:t>。其中：</w:t>
      </w:r>
    </w:p>
    <w:p>
      <w:pPr>
        <w:spacing w:line="321" w:lineRule="auto"/>
        <w:sectPr>
          <w:pgSz w:w="11900" w:h="16840"/>
          <w:pgMar w:top="400" w:right="1520" w:bottom="0" w:left="1552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right="108" w:firstLine="648"/>
        <w:spacing w:before="1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公务用车购置费支出：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本单位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年度公务用车购置量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辆，发生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“公务用车购置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”经费支出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0.00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万元。公务用车购置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费支出与预算持平，主要是严格控制“三公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”经费，未发生“公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务用车购置”经费支出与上年度持平。</w:t>
      </w:r>
    </w:p>
    <w:p>
      <w:pPr>
        <w:ind w:firstLine="647"/>
        <w:spacing w:before="5" w:line="34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公务用车运行维护费支出0.53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5"/>
        </w:rPr>
        <w:t>万元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：</w:t>
      </w:r>
      <w:r>
        <w:rPr>
          <w:rFonts w:ascii="FangSong" w:hAnsi="FangSong" w:eastAsia="FangSong" w:cs="FangSong"/>
          <w:sz w:val="31"/>
          <w:szCs w:val="31"/>
          <w:spacing w:val="5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</w:t>
      </w:r>
      <w:r>
        <w:rPr>
          <w:rFonts w:ascii="FangSong" w:hAnsi="FangSong" w:eastAsia="FangSong" w:cs="FangSong"/>
          <w:sz w:val="31"/>
          <w:szCs w:val="31"/>
          <w:spacing w:val="4"/>
        </w:rPr>
        <w:t>单位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公务用车保有量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辆。公车运行维护费支出较预算减少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0.14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元，降低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20.89%,</w:t>
      </w:r>
      <w:r>
        <w:rPr>
          <w:rFonts w:ascii="FangSong" w:hAnsi="FangSong" w:eastAsia="FangSong" w:cs="FangSong"/>
          <w:sz w:val="31"/>
          <w:szCs w:val="31"/>
          <w:spacing w:val="6"/>
        </w:rPr>
        <w:t>主要是由于疫情公车出行</w:t>
      </w:r>
      <w:r>
        <w:rPr>
          <w:rFonts w:ascii="FangSong" w:hAnsi="FangSong" w:eastAsia="FangSong" w:cs="FangSong"/>
          <w:sz w:val="31"/>
          <w:szCs w:val="31"/>
          <w:spacing w:val="5"/>
        </w:rPr>
        <w:t>少未大修；较上年减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少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1.79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77.16%</w:t>
      </w:r>
      <w:r>
        <w:rPr>
          <w:rFonts w:ascii="FangSong" w:hAnsi="FangSong" w:eastAsia="FangSong" w:cs="FangSong"/>
          <w:sz w:val="31"/>
          <w:szCs w:val="31"/>
          <w:spacing w:val="-3"/>
        </w:rPr>
        <w:t>，主要是由于疫情公车出行少未大</w:t>
      </w:r>
      <w:r>
        <w:rPr>
          <w:rFonts w:ascii="FangSong" w:hAnsi="FangSong" w:eastAsia="FangSong" w:cs="FangSong"/>
          <w:sz w:val="31"/>
          <w:szCs w:val="31"/>
          <w:spacing w:val="-4"/>
        </w:rPr>
        <w:t>修。</w:t>
      </w:r>
    </w:p>
    <w:p>
      <w:pPr>
        <w:ind w:left="2" w:right="27" w:firstLine="630"/>
        <w:spacing w:before="8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3.公务接待费支出情况。</w:t>
      </w:r>
      <w:r>
        <w:rPr>
          <w:rFonts w:ascii="FangSong" w:hAnsi="FangSong" w:eastAsia="FangSong" w:cs="FangSong"/>
          <w:sz w:val="31"/>
          <w:szCs w:val="31"/>
          <w:spacing w:val="6"/>
        </w:rPr>
        <w:t>本单位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年度公务接待费支出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预算为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0.00%</w:t>
      </w:r>
      <w:r>
        <w:rPr>
          <w:rFonts w:ascii="FangSong" w:hAnsi="FangSong" w:eastAsia="FangSong" w:cs="FangSong"/>
          <w:sz w:val="31"/>
          <w:szCs w:val="31"/>
          <w:spacing w:val="2"/>
        </w:rPr>
        <w:t>。公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务接待费支出较预算增加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0.00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万元，降低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0.00%,</w:t>
      </w:r>
      <w:r>
        <w:rPr>
          <w:rFonts w:ascii="FangSong" w:hAnsi="FangSong" w:eastAsia="FangSong" w:cs="FangSong"/>
          <w:sz w:val="31"/>
          <w:szCs w:val="31"/>
          <w:spacing w:val="3"/>
        </w:rPr>
        <w:t>主要是未发生；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较上年度减少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0.00%,</w:t>
      </w:r>
      <w:r>
        <w:rPr>
          <w:rFonts w:ascii="FangSong" w:hAnsi="FangSong" w:eastAsia="FangSong" w:cs="FangSong"/>
          <w:sz w:val="31"/>
          <w:szCs w:val="31"/>
          <w:spacing w:val="7"/>
        </w:rPr>
        <w:t>主要是未发</w:t>
      </w:r>
      <w:r>
        <w:rPr>
          <w:rFonts w:ascii="FangSong" w:hAnsi="FangSong" w:eastAsia="FangSong" w:cs="FangSong"/>
          <w:sz w:val="31"/>
          <w:szCs w:val="31"/>
          <w:spacing w:val="6"/>
        </w:rPr>
        <w:t>生。本年度共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发生公务接待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批次、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人次。</w:t>
      </w:r>
    </w:p>
    <w:p>
      <w:pPr>
        <w:ind w:left="74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六、机关运行经费支出说明</w:t>
      </w:r>
    </w:p>
    <w:p>
      <w:pPr>
        <w:ind w:left="420" w:right="111" w:firstLine="320"/>
        <w:spacing w:before="202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本单位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年度机关运行经费支出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2021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度决算支出持平，主要原因是本单位未发生机关运行经费的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支出。</w:t>
      </w:r>
    </w:p>
    <w:p>
      <w:pPr>
        <w:ind w:left="63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七、政府采购支出说明</w:t>
      </w:r>
    </w:p>
    <w:p>
      <w:pPr>
        <w:ind w:left="3" w:right="112" w:firstLine="639"/>
        <w:spacing w:before="198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本单位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年度政府采购支出总额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19.50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万元，从采购类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型来看，政府采购货物支出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19.50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万元、政府采购</w:t>
      </w:r>
      <w:r>
        <w:rPr>
          <w:rFonts w:ascii="FangSong" w:hAnsi="FangSong" w:eastAsia="FangSong" w:cs="FangSong"/>
          <w:sz w:val="31"/>
          <w:szCs w:val="31"/>
          <w:spacing w:val="-1"/>
        </w:rPr>
        <w:t>工程支出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0.00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万元、政府采购服务支出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万元。授予中小企业合同金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19.50</w:t>
      </w:r>
    </w:p>
    <w:p>
      <w:pPr>
        <w:spacing w:line="346" w:lineRule="auto"/>
        <w:sectPr>
          <w:pgSz w:w="11900" w:h="16840"/>
          <w:pgMar w:top="400" w:right="1413" w:bottom="0" w:left="155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6" w:right="236" w:firstLine="3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100%</w:t>
      </w:r>
      <w:r>
        <w:rPr>
          <w:rFonts w:ascii="FangSong" w:hAnsi="FangSong" w:eastAsia="FangSong" w:cs="FangSong"/>
          <w:sz w:val="31"/>
          <w:szCs w:val="31"/>
          <w:spacing w:val="3"/>
        </w:rPr>
        <w:t>，其中授予小微企业合同金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额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12.38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63.48%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39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八、国有资产占用情况说明</w:t>
      </w:r>
    </w:p>
    <w:p>
      <w:pPr>
        <w:ind w:right="108" w:firstLine="648"/>
        <w:spacing w:before="2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截至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2022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日，本单位共有车辆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辆，比上年持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平。其中，副部（省）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级及以上领导用车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辆，主要领导干部用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车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辆，机要通信用车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辆，应急保障用车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辆，执法执勤用车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辆，特种专业技术用车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辆，离退休干部用车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辆，其他用车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辆，其他用车主要是本学校未购置；单位价值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万元以上设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备（不含车辆）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台（套）。</w:t>
      </w:r>
    </w:p>
    <w:p>
      <w:pPr>
        <w:ind w:left="647"/>
        <w:spacing w:before="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九、预算绩效情况说明</w:t>
      </w:r>
    </w:p>
    <w:p>
      <w:pPr>
        <w:ind w:left="652"/>
        <w:spacing w:before="19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（一）预算绩效管理工作开展情况</w:t>
      </w:r>
    </w:p>
    <w:p>
      <w:pPr>
        <w:ind w:firstLine="649"/>
        <w:spacing w:before="207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根据预算绩效管理要求，本单位组织对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202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年度一般公共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预算项目支出全面开展绩效自评，其中项目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个，共涉及资金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576.3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占一般公共预算项目支出总额的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。组织对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年度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个政府性基金预算项目支出开展绩效自</w:t>
      </w:r>
      <w:r>
        <w:rPr>
          <w:rFonts w:ascii="FangSong" w:hAnsi="FangSong" w:eastAsia="FangSong" w:cs="FangSong"/>
          <w:sz w:val="31"/>
          <w:szCs w:val="31"/>
          <w:spacing w:val="14"/>
        </w:rPr>
        <w:t>评，共涉及资金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0.00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占政府性基金预算项目支出总额的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0.00%</w:t>
      </w:r>
      <w:r>
        <w:rPr>
          <w:rFonts w:ascii="FangSong" w:hAnsi="FangSong" w:eastAsia="FangSong" w:cs="FangSong"/>
          <w:sz w:val="31"/>
          <w:szCs w:val="31"/>
          <w:spacing w:val="8"/>
        </w:rPr>
        <w:t>。组织对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2022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个国有资本经营预算项目支出开展绩效自评，共涉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及资金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万元，占国有资本经营预算项目支出总额的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0.00%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" w:right="18" w:firstLine="645"/>
        <w:spacing w:before="5" w:line="33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组织对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4"/>
        </w:rPr>
        <w:t>5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项目开展了重点评价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，涉及一般公共预算支出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576.3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万元，政府性基金预算支出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</w:t>
      </w:r>
      <w:r>
        <w:rPr>
          <w:rFonts w:ascii="FangSong" w:hAnsi="FangSong" w:eastAsia="FangSong" w:cs="FangSong"/>
          <w:sz w:val="32"/>
          <w:szCs w:val="32"/>
          <w:spacing w:val="2"/>
        </w:rPr>
        <w:t>从评价情况来看，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项目实现了预算既定的绩效目标，完成年度任务</w:t>
      </w:r>
      <w:r>
        <w:rPr>
          <w:rFonts w:ascii="FangSong" w:hAnsi="FangSong" w:eastAsia="FangSong" w:cs="FangSong"/>
          <w:sz w:val="32"/>
          <w:szCs w:val="32"/>
          <w:spacing w:val="6"/>
        </w:rPr>
        <w:t>，项目绩效目</w:t>
      </w:r>
    </w:p>
    <w:p>
      <w:pPr>
        <w:spacing w:line="336" w:lineRule="auto"/>
        <w:sectPr>
          <w:pgSz w:w="11900" w:h="16840"/>
          <w:pgMar w:top="400" w:right="1413" w:bottom="0" w:left="1544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5" w:right="117" w:hanging="35"/>
        <w:spacing w:before="10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标设定清晰准确，绩效指标全面完整、科学合理，绩效标准恰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当适宜、易于评价。</w:t>
      </w:r>
    </w:p>
    <w:p>
      <w:pPr>
        <w:ind w:left="744"/>
        <w:spacing w:before="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（二）部门决算中项目绩效自评结果</w:t>
      </w:r>
    </w:p>
    <w:p>
      <w:pPr>
        <w:ind w:left="60" w:right="117" w:firstLine="582"/>
        <w:spacing w:before="19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本单位在今年部门决算公开中反映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个项目绩效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自评结果。</w:t>
      </w:r>
    </w:p>
    <w:p>
      <w:pPr>
        <w:ind w:right="115" w:firstLine="646"/>
        <w:spacing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个项目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自评综述：根据年初设定的绩效目标，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绩效自评得分为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100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分（绩效自评表附后）。全年预算数为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576.3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575.81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99.91%</w:t>
      </w:r>
      <w:r>
        <w:rPr>
          <w:rFonts w:ascii="FangSong" w:hAnsi="FangSong" w:eastAsia="FangSong" w:cs="FangSong"/>
          <w:sz w:val="31"/>
          <w:szCs w:val="31"/>
          <w:spacing w:val="3"/>
        </w:rPr>
        <w:t>。项目绩效目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标完成情况：通过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个项目实施，完成了年初设定的各项绩效目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标，完成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576.3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万元未发现问题。</w:t>
      </w:r>
    </w:p>
    <w:p>
      <w:pPr>
        <w:ind w:left="646"/>
        <w:spacing w:before="19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）项目绩效自评综述。</w:t>
      </w:r>
    </w:p>
    <w:p>
      <w:pPr>
        <w:ind w:left="2" w:right="133" w:firstLine="659"/>
        <w:spacing w:before="19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本单位在今年决算公开中反映河北省交通职业技</w:t>
      </w:r>
      <w:r>
        <w:rPr>
          <w:rFonts w:ascii="FangSong" w:hAnsi="FangSong" w:eastAsia="FangSong" w:cs="FangSong"/>
          <w:sz w:val="32"/>
          <w:szCs w:val="32"/>
          <w:spacing w:val="7"/>
        </w:rPr>
        <w:t>术学校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7"/>
        </w:rPr>
        <w:t>5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个项目绩效自评结果。</w:t>
      </w:r>
    </w:p>
    <w:p>
      <w:pPr>
        <w:ind w:left="2" w:firstLine="660"/>
        <w:spacing w:before="6" w:line="33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项目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自评综述：根据年初设定的绩效目标，本项</w:t>
      </w:r>
      <w:r>
        <w:rPr>
          <w:rFonts w:ascii="FangSong" w:hAnsi="FangSong" w:eastAsia="FangSong" w:cs="FangSong"/>
          <w:sz w:val="32"/>
          <w:szCs w:val="32"/>
          <w:spacing w:val="2"/>
        </w:rPr>
        <w:t>目绩效自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评得分为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100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分。全年预算数为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576.3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万元，执行数为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575.81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万元，完成预算的</w:t>
      </w: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99.91%</w:t>
      </w:r>
      <w:r>
        <w:rPr>
          <w:rFonts w:ascii="FangSong" w:hAnsi="FangSong" w:eastAsia="FangSong" w:cs="FangSong"/>
          <w:sz w:val="32"/>
          <w:szCs w:val="32"/>
          <w:spacing w:val="5"/>
        </w:rPr>
        <w:t>。项目绩效目标完成情况：完成各项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项目规划并通过审查，合理利用资金，完成学校工作正常运转。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646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）项目支出绩效自评表</w:t>
      </w:r>
    </w:p>
    <w:p>
      <w:pPr>
        <w:spacing w:line="228" w:lineRule="auto"/>
        <w:sectPr>
          <w:pgSz w:w="11900" w:h="16840"/>
          <w:pgMar w:top="400" w:right="1409" w:bottom="0" w:left="155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spacing w:line="10226" w:lineRule="exact"/>
        <w:rPr/>
      </w:pPr>
      <w:r>
        <w:rPr>
          <w:position w:val="-204"/>
        </w:rPr>
        <w:drawing>
          <wp:inline distT="0" distB="0" distL="0" distR="0">
            <wp:extent cx="5966459" cy="6493764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6459" cy="64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226" w:lineRule="exact"/>
        <w:sectPr>
          <w:pgSz w:w="11900" w:h="16840"/>
          <w:pgMar w:top="400" w:right="972" w:bottom="0" w:left="1531" w:header="0" w:footer="0" w:gutter="0"/>
        </w:sectPr>
        <w:rPr/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spacing w:line="6768" w:lineRule="exact"/>
        <w:rPr/>
      </w:pPr>
      <w:r>
        <w:rPr>
          <w:position w:val="-135"/>
        </w:rPr>
        <w:drawing>
          <wp:inline distT="0" distB="0" distL="0" distR="0">
            <wp:extent cx="5611368" cy="4297679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1368" cy="429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5"/>
        <w:spacing w:before="25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（四）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部门评价项目绩效评价结果</w:t>
      </w:r>
    </w:p>
    <w:p>
      <w:pPr>
        <w:ind w:left="1693"/>
        <w:spacing w:before="17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无</w:t>
      </w:r>
    </w:p>
    <w:p>
      <w:pPr>
        <w:ind w:left="657"/>
        <w:spacing w:before="30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十、其他需要说明的情况</w:t>
      </w:r>
    </w:p>
    <w:p>
      <w:pPr>
        <w:ind w:left="30" w:right="4" w:firstLine="645"/>
        <w:spacing w:before="199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1.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本部门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年度无收支及结转结</w:t>
      </w:r>
      <w:r>
        <w:rPr>
          <w:rFonts w:ascii="FangSong" w:hAnsi="FangSong" w:eastAsia="FangSong" w:cs="FangSong"/>
          <w:sz w:val="31"/>
          <w:szCs w:val="31"/>
          <w:spacing w:val="4"/>
        </w:rPr>
        <w:t>余情况，故此表以空表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列示。</w:t>
      </w:r>
    </w:p>
    <w:p>
      <w:pPr>
        <w:ind w:left="20" w:firstLine="635"/>
        <w:spacing w:before="192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由于决算公开表格中金额数值应当保留两位小数，公开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数据为四舍五入计算结果，个别数据合计项与分项之和存在小数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点后差额，特此说明。</w:t>
      </w:r>
    </w:p>
    <w:p>
      <w:pPr>
        <w:spacing w:line="307" w:lineRule="auto"/>
        <w:sectPr>
          <w:pgSz w:w="11900" w:h="16840"/>
          <w:pgMar w:top="400" w:right="1520" w:bottom="0" w:left="153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firstLine="1824"/>
        <w:spacing w:before="1" w:line="513" w:lineRule="exact"/>
        <w:rPr/>
      </w:pPr>
      <w:r>
        <w:rPr>
          <w:position w:val="-10"/>
        </w:rPr>
        <w:drawing>
          <wp:inline distT="0" distB="0" distL="0" distR="0">
            <wp:extent cx="2973324" cy="326135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3324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3" w:lineRule="exact"/>
        <w:sectPr>
          <w:pgSz w:w="11900" w:h="16840"/>
          <w:pgMar w:top="400" w:right="1785" w:bottom="0" w:left="1785" w:header="0" w:footer="0" w:gutter="0"/>
        </w:sectPr>
        <w:rPr/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right="88" w:firstLine="679"/>
        <w:spacing w:before="100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一、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财政拨款收入：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指单位从同级财政部门取得</w:t>
      </w:r>
      <w:r>
        <w:rPr>
          <w:rFonts w:ascii="FangSong" w:hAnsi="FangSong" w:eastAsia="FangSong" w:cs="FangSong"/>
          <w:sz w:val="31"/>
          <w:szCs w:val="31"/>
          <w:spacing w:val="6"/>
        </w:rPr>
        <w:t>的财政预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算资金。</w:t>
      </w:r>
    </w:p>
    <w:p>
      <w:pPr>
        <w:ind w:left="1" w:right="91" w:firstLine="683"/>
        <w:spacing w:before="198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二、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事业收入：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指事业单位开展专业业务活动及辅助活动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取得的收入。</w:t>
      </w:r>
    </w:p>
    <w:p>
      <w:pPr>
        <w:ind w:left="3" w:right="91" w:firstLine="679"/>
        <w:spacing w:before="194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三、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经营收入：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指事业单位在专业业务活动及其辅助活动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之外开展非独立核算经营活动取得的收入。</w:t>
      </w:r>
    </w:p>
    <w:p>
      <w:pPr>
        <w:ind w:right="412" w:firstLine="712"/>
        <w:spacing w:before="198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四、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其他收入：</w:t>
      </w:r>
      <w:r>
        <w:rPr>
          <w:rFonts w:ascii="FangSong" w:hAnsi="FangSong" w:eastAsia="FangSong" w:cs="FangSong"/>
          <w:sz w:val="31"/>
          <w:szCs w:val="31"/>
          <w:spacing w:val="5"/>
        </w:rPr>
        <w:t>指单位取得的除上述收入以外的各项收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入。主要是事业单位固定资产出租收入、存</w:t>
      </w:r>
      <w:r>
        <w:rPr>
          <w:rFonts w:ascii="FangSong" w:hAnsi="FangSong" w:eastAsia="FangSong" w:cs="FangSong"/>
          <w:sz w:val="31"/>
          <w:szCs w:val="31"/>
          <w:spacing w:val="8"/>
        </w:rPr>
        <w:t>款利息收入等。</w:t>
      </w:r>
    </w:p>
    <w:p>
      <w:pPr>
        <w:ind w:left="10" w:firstLine="474"/>
        <w:spacing w:before="201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五、使用非财政拨款结余：</w:t>
      </w:r>
      <w:r>
        <w:rPr>
          <w:rFonts w:ascii="FangSong" w:hAnsi="FangSong" w:eastAsia="FangSong" w:cs="FangSong"/>
          <w:sz w:val="31"/>
          <w:szCs w:val="31"/>
          <w:spacing w:val="9"/>
        </w:rPr>
        <w:t>指事业单位使用以前年度积累的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非财政拨款结余弥补当年收支差额的金额。</w:t>
      </w:r>
    </w:p>
    <w:p>
      <w:pPr>
        <w:ind w:left="1" w:right="9" w:firstLine="642"/>
        <w:spacing w:before="196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六、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年初结转和结余：</w:t>
      </w:r>
      <w:r>
        <w:rPr>
          <w:rFonts w:ascii="FangSong" w:hAnsi="FangSong" w:eastAsia="FangSong" w:cs="FangSong"/>
          <w:sz w:val="31"/>
          <w:szCs w:val="31"/>
          <w:spacing w:val="6"/>
        </w:rPr>
        <w:t>指单位以前年度尚未完成、结转到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本年仍按原规定用途继续使用的资金，或项目已完成等产生</w:t>
      </w:r>
      <w:r>
        <w:rPr>
          <w:rFonts w:ascii="FangSong" w:hAnsi="FangSong" w:eastAsia="FangSong" w:cs="FangSong"/>
          <w:sz w:val="31"/>
          <w:szCs w:val="31"/>
          <w:spacing w:val="4"/>
        </w:rPr>
        <w:t>的结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余资金。</w:t>
      </w:r>
    </w:p>
    <w:p>
      <w:pPr>
        <w:ind w:right="124" w:firstLine="647"/>
        <w:spacing w:before="195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七、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结余分配：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指事业单位按照会计制度规定缴</w:t>
      </w:r>
      <w:r>
        <w:rPr>
          <w:rFonts w:ascii="FangSong" w:hAnsi="FangSong" w:eastAsia="FangSong" w:cs="FangSong"/>
          <w:sz w:val="31"/>
          <w:szCs w:val="31"/>
          <w:spacing w:val="6"/>
        </w:rPr>
        <w:t>纳的所得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税、提取的专用结余以及转入非财政拨款结余的金额等。</w:t>
      </w:r>
    </w:p>
    <w:p>
      <w:pPr>
        <w:ind w:left="2" w:right="122" w:firstLine="637"/>
        <w:spacing w:before="205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八、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年末结转和结余：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指单位按有关规定结转到</w:t>
      </w:r>
      <w:r>
        <w:rPr>
          <w:rFonts w:ascii="FangSong" w:hAnsi="FangSong" w:eastAsia="FangSong" w:cs="FangSong"/>
          <w:sz w:val="31"/>
          <w:szCs w:val="31"/>
          <w:spacing w:val="6"/>
        </w:rPr>
        <w:t>下年或以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后年度继续使用的资金，或项目已完成等产生的结余资金。</w:t>
      </w:r>
    </w:p>
    <w:p>
      <w:pPr>
        <w:ind w:left="8" w:right="124" w:firstLine="643"/>
        <w:spacing w:before="199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九、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基本支出：</w:t>
      </w:r>
      <w:r>
        <w:rPr>
          <w:rFonts w:ascii="FangSong" w:hAnsi="FangSong" w:eastAsia="FangSong" w:cs="FangSong"/>
          <w:sz w:val="31"/>
          <w:szCs w:val="31"/>
          <w:spacing w:val="3"/>
        </w:rPr>
        <w:t>指为保障机构正常运转、完成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日常工作任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务而发生的人员支出和公用支出。</w:t>
      </w:r>
    </w:p>
    <w:p>
      <w:pPr>
        <w:ind w:right="4" w:firstLine="649"/>
        <w:spacing w:before="181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十、项目支出：</w:t>
      </w:r>
      <w:r>
        <w:rPr>
          <w:rFonts w:ascii="FangSong" w:hAnsi="FangSong" w:eastAsia="FangSong" w:cs="FangSong"/>
          <w:sz w:val="31"/>
          <w:szCs w:val="31"/>
          <w:spacing w:val="3"/>
        </w:rPr>
        <w:t>指在基本支出之外为完成特定行政任务和事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业发展目标所发生的支出。</w:t>
      </w:r>
    </w:p>
    <w:p>
      <w:pPr>
        <w:spacing w:line="280" w:lineRule="auto"/>
        <w:sectPr>
          <w:pgSz w:w="11900" w:h="16840"/>
          <w:pgMar w:top="400" w:right="1517" w:bottom="0" w:left="1552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right="90" w:firstLine="649"/>
        <w:spacing w:before="101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十一、基本建设支出：</w:t>
      </w:r>
      <w:r>
        <w:rPr>
          <w:rFonts w:ascii="FangSong" w:hAnsi="FangSong" w:eastAsia="FangSong" w:cs="FangSong"/>
          <w:sz w:val="31"/>
          <w:szCs w:val="31"/>
          <w:spacing w:val="3"/>
        </w:rPr>
        <w:t>填列由本级发展与改革部门集中安排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的用于购置固定资产、战略性和应急性储备、土地和无形资产，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以及购建基础设施、大型修缮所发生的一般公共预算财政拨款支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出，不包括政府性基金、财政专户管理资金以及各类拼盘自筹资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金等。</w:t>
      </w:r>
    </w:p>
    <w:p>
      <w:pPr>
        <w:ind w:left="2" w:right="135" w:firstLine="647"/>
        <w:spacing w:before="179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十二、其他资本性支出：</w:t>
      </w:r>
      <w:r>
        <w:rPr>
          <w:rFonts w:ascii="FangSong" w:hAnsi="FangSong" w:eastAsia="FangSong" w:cs="FangSong"/>
          <w:sz w:val="31"/>
          <w:szCs w:val="31"/>
          <w:spacing w:val="3"/>
        </w:rPr>
        <w:t>填列由各级非发展与改革部门</w:t>
      </w:r>
      <w:r>
        <w:rPr>
          <w:rFonts w:ascii="FangSong" w:hAnsi="FangSong" w:eastAsia="FangSong" w:cs="FangSong"/>
          <w:sz w:val="31"/>
          <w:szCs w:val="31"/>
          <w:spacing w:val="2"/>
        </w:rPr>
        <w:t>集中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安排的用于购置固定资产、战备性和应急性储备、土地和无形资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产，以及购建基础设施、大型修缮和财政支持企业更新</w:t>
      </w:r>
      <w:r>
        <w:rPr>
          <w:rFonts w:ascii="FangSong" w:hAnsi="FangSong" w:eastAsia="FangSong" w:cs="FangSong"/>
          <w:sz w:val="31"/>
          <w:szCs w:val="31"/>
          <w:spacing w:val="4"/>
        </w:rPr>
        <w:t>改造所发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生的支出。</w:t>
      </w:r>
    </w:p>
    <w:p>
      <w:pPr>
        <w:ind w:left="1" w:firstLine="648"/>
        <w:spacing w:before="176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6"/>
        </w:rPr>
        <w:t>十三、“三公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6"/>
        </w:rPr>
        <w:t>”经费：</w:t>
      </w:r>
      <w:r>
        <w:rPr>
          <w:rFonts w:ascii="FangSong" w:hAnsi="FangSong" w:eastAsia="FangSong" w:cs="FangSong"/>
          <w:sz w:val="31"/>
          <w:szCs w:val="31"/>
          <w:spacing w:val="-16"/>
        </w:rPr>
        <w:t>指部门用财政拨款安排的因公出国</w:t>
      </w:r>
      <w:r>
        <w:rPr>
          <w:rFonts w:ascii="FangSong" w:hAnsi="FangSong" w:eastAsia="FangSong" w:cs="FangSong"/>
          <w:sz w:val="31"/>
          <w:szCs w:val="31"/>
          <w:spacing w:val="-17"/>
        </w:rPr>
        <w:t>（境）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费、公务用车购置及运行费和公务接待费。其中</w:t>
      </w:r>
      <w:r>
        <w:rPr>
          <w:rFonts w:ascii="FangSong" w:hAnsi="FangSong" w:eastAsia="FangSong" w:cs="FangSong"/>
          <w:sz w:val="31"/>
          <w:szCs w:val="31"/>
          <w:spacing w:val="-2"/>
        </w:rPr>
        <w:t>，因公出国（境）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费反映单位公务出国（境）的国际旅费、国外城市间交通费、住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宿费、伙食费、培训费、公杂费等支出；公务用车购置及运行费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反映单位公务用车购置支出（含车辆购置税、牌照费）及按规定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保留的公务用车燃料费、维修费、过桥过路费、保险费、安全奖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励费用等支出；公务接待费反映单位按规定开支的各类公务接待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（含外宾接待）支出。</w:t>
      </w:r>
    </w:p>
    <w:p>
      <w:pPr>
        <w:ind w:right="135" w:firstLine="649"/>
        <w:spacing w:before="18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十四、其他交通费用：</w:t>
      </w:r>
      <w:r>
        <w:rPr>
          <w:rFonts w:ascii="FangSong" w:hAnsi="FangSong" w:eastAsia="FangSong" w:cs="FangSong"/>
          <w:sz w:val="31"/>
          <w:szCs w:val="31"/>
          <w:spacing w:val="3"/>
        </w:rPr>
        <w:t>填列单位除公务用车运行维护费以外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的其他交通费用。如公务交通补贴、租车费用、出租车费用，飞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机、船舶等燃料费、维修费、保险费等。</w:t>
      </w:r>
    </w:p>
    <w:p>
      <w:pPr>
        <w:ind w:left="7" w:right="132" w:firstLine="642"/>
        <w:spacing w:before="182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十五、公务用车购置：</w:t>
      </w:r>
      <w:r>
        <w:rPr>
          <w:rFonts w:ascii="FangSong" w:hAnsi="FangSong" w:eastAsia="FangSong" w:cs="FangSong"/>
          <w:sz w:val="31"/>
          <w:szCs w:val="31"/>
          <w:spacing w:val="3"/>
        </w:rPr>
        <w:t>填列单位公务用车车辆购置支出（含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车辆购置税、牌照费）。</w:t>
      </w:r>
    </w:p>
    <w:p>
      <w:pPr>
        <w:spacing w:line="279" w:lineRule="auto"/>
        <w:sectPr>
          <w:pgSz w:w="11900" w:h="16840"/>
          <w:pgMar w:top="400" w:right="1389" w:bottom="0" w:left="1552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105" w:firstLine="645"/>
        <w:spacing w:before="101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十六、其他交通工具购置：</w:t>
      </w:r>
      <w:r>
        <w:rPr>
          <w:rFonts w:ascii="FangSong" w:hAnsi="FangSong" w:eastAsia="FangSong" w:cs="FangSong"/>
          <w:sz w:val="31"/>
          <w:szCs w:val="31"/>
          <w:spacing w:val="3"/>
        </w:rPr>
        <w:t>填列单位除公务用车外的</w:t>
      </w:r>
      <w:r>
        <w:rPr>
          <w:rFonts w:ascii="FangSong" w:hAnsi="FangSong" w:eastAsia="FangSong" w:cs="FangSong"/>
          <w:sz w:val="31"/>
          <w:szCs w:val="31"/>
          <w:spacing w:val="2"/>
        </w:rPr>
        <w:t>其他各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类交通工具（如船舶、飞机等）购置支出（含车辆购置税、</w:t>
      </w:r>
      <w:r>
        <w:rPr>
          <w:rFonts w:ascii="FangSong" w:hAnsi="FangSong" w:eastAsia="FangSong" w:cs="FangSong"/>
          <w:sz w:val="31"/>
          <w:szCs w:val="31"/>
          <w:spacing w:val="4"/>
        </w:rPr>
        <w:t>牌照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费）。</w:t>
      </w:r>
    </w:p>
    <w:p>
      <w:pPr>
        <w:ind w:firstLine="645"/>
        <w:spacing w:before="171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十七、机关运行经费：</w:t>
      </w:r>
      <w:r>
        <w:rPr>
          <w:rFonts w:ascii="FangSong" w:hAnsi="FangSong" w:eastAsia="FangSong" w:cs="FangSong"/>
          <w:sz w:val="31"/>
          <w:szCs w:val="31"/>
          <w:spacing w:val="3"/>
        </w:rPr>
        <w:t>指为保障行政单位（包括参照公务员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法管理的事业单位）运行用于购买货物和服务的各项</w:t>
      </w:r>
      <w:r>
        <w:rPr>
          <w:rFonts w:ascii="FangSong" w:hAnsi="FangSong" w:eastAsia="FangSong" w:cs="FangSong"/>
          <w:sz w:val="31"/>
          <w:szCs w:val="31"/>
          <w:spacing w:val="4"/>
        </w:rPr>
        <w:t>资金，包括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办公及印刷费、邮电费、差旅费、会议费、福利费</w:t>
      </w:r>
      <w:r>
        <w:rPr>
          <w:rFonts w:ascii="FangSong" w:hAnsi="FangSong" w:eastAsia="FangSong" w:cs="FangSong"/>
          <w:sz w:val="31"/>
          <w:szCs w:val="31"/>
          <w:spacing w:val="-3"/>
        </w:rPr>
        <w:t>、日常维修费、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专用材料以及一般设备购置费、办公用房水电费、办公用房</w:t>
      </w:r>
      <w:r>
        <w:rPr>
          <w:rFonts w:ascii="FangSong" w:hAnsi="FangSong" w:eastAsia="FangSong" w:cs="FangSong"/>
          <w:sz w:val="31"/>
          <w:szCs w:val="31"/>
          <w:spacing w:val="4"/>
        </w:rPr>
        <w:t>取暖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费、办公用房物业管理费、公务用车运行维护</w:t>
      </w:r>
      <w:r>
        <w:rPr>
          <w:rFonts w:ascii="FangSong" w:hAnsi="FangSong" w:eastAsia="FangSong" w:cs="FangSong"/>
          <w:sz w:val="31"/>
          <w:szCs w:val="31"/>
          <w:spacing w:val="8"/>
        </w:rPr>
        <w:t>费以及其他费用。</w:t>
      </w:r>
    </w:p>
    <w:p>
      <w:pPr>
        <w:ind w:left="12" w:right="109" w:firstLine="633"/>
        <w:spacing w:before="164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十八、经费形式:</w:t>
      </w:r>
      <w:r>
        <w:rPr>
          <w:rFonts w:ascii="FangSong" w:hAnsi="FangSong" w:eastAsia="FangSong" w:cs="FangSong"/>
          <w:sz w:val="31"/>
          <w:szCs w:val="31"/>
          <w:spacing w:val="8"/>
        </w:rPr>
        <w:t>按照经费来源，可分为财政拨款、</w:t>
      </w:r>
      <w:r>
        <w:rPr>
          <w:rFonts w:ascii="FangSong" w:hAnsi="FangSong" w:eastAsia="FangSong" w:cs="FangSong"/>
          <w:sz w:val="31"/>
          <w:szCs w:val="31"/>
          <w:spacing w:val="7"/>
        </w:rPr>
        <w:t>财政性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资金基本保证、财政性资金定额或定项补助、财政性资金零补助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四类</w:t>
      </w:r>
    </w:p>
    <w:sectPr>
      <w:pgSz w:w="11900" w:h="16840"/>
      <w:pgMar w:top="400" w:right="1417" w:bottom="0" w:left="155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228600</wp:posOffset>
              </wp:positionH>
              <wp:positionV relativeFrom="page">
                <wp:posOffset>229616</wp:posOffset>
              </wp:positionV>
              <wp:extent cx="7103744" cy="10168255"/>
              <wp:effectExtent l="0" t="0" r="0" b="0"/>
              <wp:wrapNone/>
              <wp:docPr id="2" name="Rect 2"/>
              <wp:cNvGraphicFramePr/>
              <a:graphic>
                <a:graphicData uri="http://schemas.microsoft.com/office/word/2010/wordprocessingShape">
                  <wps:wsp>
                    <wps:cNvPr id="2" name="Rect 2"/>
                    <wps:cNvSpPr/>
                    <wps:spPr>
                      <a:xfrm>
                        <a:off x="228600" y="229616"/>
                        <a:ext cx="7103744" cy="10168255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" style="position:absolute;margin-left:18pt;margin-top:18.08pt;mso-position-vertical-relative:page;mso-position-horizontal-relative:page;width:559.35pt;height:800.65pt;z-index:-251658240;" o:allowincell="f" fillcolor="#F2F2F3" filled="true" stroked="false"/>
          </w:pict>
        </mc:Fallback>
      </mc:AlternateConten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header" Target="header2.xml"/><Relationship Id="rId4" Type="http://schemas.openxmlformats.org/officeDocument/2006/relationships/image" Target="media/image3.jpeg"/><Relationship Id="rId30" Type="http://schemas.openxmlformats.org/officeDocument/2006/relationships/fontTable" Target="fontTable.xml"/><Relationship Id="rId3" Type="http://schemas.openxmlformats.org/officeDocument/2006/relationships/image" Target="media/image2.png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image" Target="media/image1.png"/><Relationship Id="rId19" Type="http://schemas.openxmlformats.org/officeDocument/2006/relationships/image" Target="media/image17.jpe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pdfFactory Pro www.fineprint.cn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封面1-2.docx</dc:title>
  <dc:creator>lenovo</dc:creator>
  <dcterms:created xsi:type="dcterms:W3CDTF">2023-08-17T16:09:34Z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2025-09-12T11:36:52</vt:filetime>
  </property>
</Properties>
</file>